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4EA0A8" w14:textId="1B4940A2" w:rsidR="001D3615" w:rsidRDefault="00350D3B" w:rsidP="00350D3B">
      <w:pPr>
        <w:pStyle w:val="Title"/>
      </w:pPr>
      <w:r>
        <w:t>Title (15 words maximum)</w:t>
      </w:r>
    </w:p>
    <w:p w14:paraId="36D489C4" w14:textId="256F7A2A" w:rsidR="00350D3B" w:rsidRDefault="00350D3B" w:rsidP="00350D3B">
      <w:pPr>
        <w:jc w:val="center"/>
      </w:pPr>
      <w:r>
        <w:t>Author Name, Organization</w:t>
      </w:r>
      <w:r w:rsidR="00163899">
        <w:t xml:space="preserve"> Name and</w:t>
      </w:r>
      <w:r>
        <w:t xml:space="preserve"> Address</w:t>
      </w:r>
      <w:r w:rsidR="00885899">
        <w:t xml:space="preserve">, </w:t>
      </w:r>
      <w:r w:rsidR="00163899">
        <w:t>E</w:t>
      </w:r>
      <w:r w:rsidR="00885899">
        <w:t xml:space="preserve">mail </w:t>
      </w:r>
      <w:r w:rsidR="00163899">
        <w:t>A</w:t>
      </w:r>
      <w:r w:rsidR="00885899">
        <w:t>ddress</w:t>
      </w:r>
    </w:p>
    <w:p w14:paraId="60899FBF" w14:textId="7BAF3276" w:rsidR="00350D3B" w:rsidRPr="00350D3B" w:rsidRDefault="00350D3B" w:rsidP="00350D3B">
      <w:pPr>
        <w:spacing w:before="240" w:after="240"/>
        <w:rPr>
          <w:b/>
          <w:bCs/>
        </w:rPr>
      </w:pPr>
      <w:r w:rsidRPr="00350D3B">
        <w:rPr>
          <w:b/>
          <w:bCs/>
        </w:rPr>
        <w:t>Abstract</w:t>
      </w:r>
    </w:p>
    <w:p w14:paraId="442BEA5B" w14:textId="0B364B10" w:rsidR="00350D3B" w:rsidRDefault="00350D3B" w:rsidP="00350D3B">
      <w:r>
        <w:t>[Fill in your abstract here, 100 words maximum]</w:t>
      </w:r>
    </w:p>
    <w:p w14:paraId="036F95E6" w14:textId="16516AD0" w:rsidR="00350D3B" w:rsidRDefault="00350D3B" w:rsidP="00A16BCC">
      <w:pPr>
        <w:spacing w:before="240" w:after="240"/>
      </w:pPr>
      <w:r w:rsidRPr="00A16BCC">
        <w:rPr>
          <w:b/>
          <w:bCs/>
        </w:rPr>
        <w:t>Keywords:</w:t>
      </w:r>
      <w:r>
        <w:t xml:space="preserve"> </w:t>
      </w:r>
      <w:r w:rsidRPr="00350D3B">
        <w:t>[</w:t>
      </w:r>
      <w:r>
        <w:t>Enter 3-5 keywords]</w:t>
      </w:r>
    </w:p>
    <w:p w14:paraId="5BA4D4BB" w14:textId="77777777" w:rsidR="00350D3B" w:rsidRDefault="00350D3B" w:rsidP="00350D3B">
      <w:pPr>
        <w:sectPr w:rsidR="00350D3B" w:rsidSect="00087AFF">
          <w:headerReference w:type="default" r:id="rId8"/>
          <w:footerReference w:type="default" r:id="rId9"/>
          <w:headerReference w:type="first" r:id="rId10"/>
          <w:footerReference w:type="first" r:id="rId11"/>
          <w:pgSz w:w="12240" w:h="15840"/>
          <w:pgMar w:top="1440" w:right="1440" w:bottom="1440" w:left="1440" w:header="720" w:footer="720" w:gutter="0"/>
          <w:cols w:space="720"/>
          <w:titlePg/>
          <w:docGrid w:linePitch="360"/>
        </w:sectPr>
      </w:pPr>
    </w:p>
    <w:p w14:paraId="34382EF4" w14:textId="1CFC0609" w:rsidR="00350D3B" w:rsidRDefault="00350D3B" w:rsidP="00A16BCC">
      <w:pPr>
        <w:pStyle w:val="Heading1"/>
      </w:pPr>
      <w:r>
        <w:t>Introduction</w:t>
      </w:r>
    </w:p>
    <w:p w14:paraId="522C599E" w14:textId="46B524D5" w:rsidR="00350D3B" w:rsidRDefault="00350D3B" w:rsidP="00350D3B">
      <w:r>
        <w:t>Please provide a concise discussion of previous work and how it relates to the content of the rest of this document.</w:t>
      </w:r>
      <w:r w:rsidR="00A16BCC">
        <w:t xml:space="preserve"> This should occupy about 1/2 to 1 page of your document. It may be longer should you choose to include figures/tables.</w:t>
      </w:r>
    </w:p>
    <w:p w14:paraId="5124A234" w14:textId="0D6BE560" w:rsidR="00A16BCC" w:rsidRDefault="00A16BCC" w:rsidP="00A16BCC">
      <w:pPr>
        <w:pStyle w:val="Heading2"/>
      </w:pPr>
      <w:r>
        <w:t>Sub-</w:t>
      </w:r>
      <w:r w:rsidR="00CA29CB">
        <w:t>h</w:t>
      </w:r>
      <w:r>
        <w:t xml:space="preserve">eaders, if </w:t>
      </w:r>
      <w:r w:rsidR="00CA29CB">
        <w:t>N</w:t>
      </w:r>
      <w:r>
        <w:t>eeded</w:t>
      </w:r>
    </w:p>
    <w:p w14:paraId="5AD65AFD" w14:textId="6DD39316" w:rsidR="00A16BCC" w:rsidRPr="00A16BCC" w:rsidRDefault="00A16BCC" w:rsidP="00A16BCC">
      <w:r>
        <w:t>You can use a sub-header to organize the different sections of the main sections, if needed/desired.</w:t>
      </w:r>
    </w:p>
    <w:p w14:paraId="77590F3B" w14:textId="1D50F9F9" w:rsidR="00A16BCC" w:rsidRPr="00A16BCC" w:rsidRDefault="00A16BCC" w:rsidP="00A16BCC">
      <w:pPr>
        <w:pStyle w:val="Heading3"/>
      </w:pPr>
      <w:r>
        <w:t xml:space="preserve">No </w:t>
      </w:r>
      <w:r w:rsidR="00CA29CB">
        <w:t>M</w:t>
      </w:r>
      <w:r>
        <w:t xml:space="preserve">ore </w:t>
      </w:r>
      <w:r w:rsidR="00CA29CB">
        <w:t>T</w:t>
      </w:r>
      <w:r>
        <w:t xml:space="preserve">han 2 </w:t>
      </w:r>
      <w:r w:rsidR="00CA29CB">
        <w:t>L</w:t>
      </w:r>
      <w:r>
        <w:t xml:space="preserve">ayers of </w:t>
      </w:r>
      <w:r w:rsidR="00CA29CB">
        <w:t>S</w:t>
      </w:r>
      <w:r>
        <w:t>ub-headers</w:t>
      </w:r>
    </w:p>
    <w:p w14:paraId="31799FC7" w14:textId="7D6EEFDA" w:rsidR="00350D3B" w:rsidRDefault="00A16BCC" w:rsidP="00350D3B">
      <w:r>
        <w:t xml:space="preserve">However, do not use more than 2 layers of sub-headers meaning that the </w:t>
      </w:r>
      <w:proofErr w:type="gramStart"/>
      <w:r>
        <w:t>amount</w:t>
      </w:r>
      <w:proofErr w:type="gramEnd"/>
      <w:r>
        <w:t xml:space="preserve"> of digits in your sub-header should never exceed 3.</w:t>
      </w:r>
    </w:p>
    <w:p w14:paraId="3B4FEBEC" w14:textId="77DFDE33" w:rsidR="00A16BCC" w:rsidRDefault="00A16BCC" w:rsidP="00A16BCC">
      <w:pPr>
        <w:pStyle w:val="Heading1"/>
      </w:pPr>
      <w:r>
        <w:t>Methods</w:t>
      </w:r>
    </w:p>
    <w:p w14:paraId="05C086E5" w14:textId="7AD33CD6" w:rsidR="00A16BCC" w:rsidRDefault="00A16BCC" w:rsidP="00A16BCC">
      <w:r>
        <w:t>Detail the methods used by you, if presenting original work, or in the literature, if critically reviewing previous work. This section should be about 1/2  - 1 page</w:t>
      </w:r>
      <w:r w:rsidR="00CA29CB">
        <w:t>. It may be longer if you choose to include figures/tables.</w:t>
      </w:r>
    </w:p>
    <w:p w14:paraId="2CBA8401" w14:textId="08751739" w:rsidR="00CA29CB" w:rsidRDefault="00CA29CB" w:rsidP="00CA29CB">
      <w:pPr>
        <w:pStyle w:val="Heading2"/>
      </w:pPr>
      <w:r>
        <w:t>Expectations of Method Section</w:t>
      </w:r>
    </w:p>
    <w:p w14:paraId="7C5B98D0" w14:textId="5589C501" w:rsidR="00CA29CB" w:rsidRDefault="00CA29CB" w:rsidP="00CA29CB">
      <w:r>
        <w:t xml:space="preserve">Enough detail should be </w:t>
      </w:r>
      <w:proofErr w:type="gramStart"/>
      <w:r>
        <w:t>provided that</w:t>
      </w:r>
      <w:proofErr w:type="gramEnd"/>
      <w:r>
        <w:t xml:space="preserve"> I should be able to follow your analysis and interpret what you did and your results.</w:t>
      </w:r>
    </w:p>
    <w:p w14:paraId="3BB45829" w14:textId="5D3D916B" w:rsidR="00CA29CB" w:rsidRDefault="00CA29CB" w:rsidP="00CA29CB">
      <w:pPr>
        <w:pStyle w:val="Heading1"/>
      </w:pPr>
      <w:r>
        <w:t>Results and Discussion</w:t>
      </w:r>
    </w:p>
    <w:p w14:paraId="17B85DBB" w14:textId="0E899387" w:rsidR="00CA29CB" w:rsidRDefault="00CA29CB" w:rsidP="00CA29CB">
      <w:r>
        <w:t xml:space="preserve">This should be your longest section. It is </w:t>
      </w:r>
      <w:proofErr w:type="gramStart"/>
      <w:r>
        <w:t>expected that</w:t>
      </w:r>
      <w:proofErr w:type="gramEnd"/>
      <w:r>
        <w:t xml:space="preserve"> to be 3-5 pages long depending on the number of figures and table used. At least, one plot or table of data should be provided. This should provide your original data being analyzed or the data from the literature being analyzed in plot(s) or table(s). As well as key equations being used in your analysis </w:t>
      </w:r>
      <w:r>
        <w:t>of the data presented. The equations should be formatted as shown below</w:t>
      </w:r>
      <w:r w:rsidR="00782229">
        <w:t>:</w:t>
      </w:r>
    </w:p>
    <w:p w14:paraId="44E961B1" w14:textId="0A6CE493" w:rsidR="00CA29CB" w:rsidRDefault="00782229" w:rsidP="00782229">
      <w:pPr>
        <w:pStyle w:val="Caption"/>
        <w:tabs>
          <w:tab w:val="center" w:pos="2160"/>
          <w:tab w:val="right" w:pos="4140"/>
        </w:tabs>
      </w:pPr>
      <w:r>
        <w:rPr>
          <w:rFonts w:eastAsiaTheme="minorEastAsia"/>
        </w:rPr>
        <w:tab/>
      </w:r>
      <m:oMath>
        <m:r>
          <w:rPr>
            <w:rFonts w:ascii="Cambria Math" w:hAnsi="Cambria Math"/>
          </w:rPr>
          <m:t>y=mx+b</m:t>
        </m:r>
      </m:oMath>
      <w:r>
        <w:rPr>
          <w:rFonts w:eastAsiaTheme="minorEastAsia"/>
        </w:rPr>
        <w:tab/>
      </w:r>
      <w:r>
        <w:t xml:space="preserve">( </w:t>
      </w:r>
      <w:fldSimple w:instr=" SEQ ( \* ARABIC ">
        <w:r>
          <w:rPr>
            <w:noProof/>
          </w:rPr>
          <w:t>1</w:t>
        </w:r>
      </w:fldSimple>
      <w:r>
        <w:t xml:space="preserve"> )</w:t>
      </w:r>
    </w:p>
    <w:p w14:paraId="023E7DC2" w14:textId="37495A71" w:rsidR="00782229" w:rsidRDefault="00782229" w:rsidP="00782229">
      <w:r>
        <w:t xml:space="preserve">where all variables are defined, e.g., </w:t>
      </w:r>
      <m:oMath>
        <m:r>
          <w:rPr>
            <w:rFonts w:ascii="Cambria Math" w:hAnsi="Cambria Math"/>
            <w:sz w:val="20"/>
            <w:szCs w:val="20"/>
          </w:rPr>
          <m:t>y</m:t>
        </m:r>
      </m:oMath>
      <w:r>
        <w:t xml:space="preserve"> is the dependent variable, </w:t>
      </w:r>
      <m:oMath>
        <m:r>
          <w:rPr>
            <w:rFonts w:ascii="Cambria Math" w:hAnsi="Cambria Math"/>
            <w:sz w:val="20"/>
            <w:szCs w:val="20"/>
          </w:rPr>
          <m:t>m</m:t>
        </m:r>
      </m:oMath>
      <w:r>
        <w:t xml:space="preserve"> is slope, </w:t>
      </w:r>
      <m:oMath>
        <m:r>
          <w:rPr>
            <w:rFonts w:ascii="Cambria Math" w:hAnsi="Cambria Math"/>
            <w:sz w:val="20"/>
            <w:szCs w:val="20"/>
          </w:rPr>
          <m:t>x</m:t>
        </m:r>
      </m:oMath>
      <w:r>
        <w:t xml:space="preserve"> is the dependent variable, and </w:t>
      </w:r>
      <m:oMath>
        <m:r>
          <w:rPr>
            <w:rFonts w:ascii="Cambria Math" w:hAnsi="Cambria Math"/>
            <w:sz w:val="20"/>
            <w:szCs w:val="20"/>
          </w:rPr>
          <m:t>b</m:t>
        </m:r>
      </m:oMath>
      <w:r>
        <w:t xml:space="preserve"> is the y-intercept</w:t>
      </w:r>
      <w:r w:rsidR="000C0B42">
        <w:t>. Set font size for equations to 10 pt. You can copy and paste the equation line above to replicate the formatting, then edit as necessary.</w:t>
      </w:r>
    </w:p>
    <w:p w14:paraId="12FA39B3" w14:textId="0950924D" w:rsidR="000C0B42" w:rsidRDefault="000C0B42" w:rsidP="000C0B42">
      <w:pPr>
        <w:pStyle w:val="Heading2"/>
      </w:pPr>
      <w:r>
        <w:t>Figures</w:t>
      </w:r>
    </w:p>
    <w:p w14:paraId="17889AED" w14:textId="0169E99C" w:rsidR="007D16A6" w:rsidRDefault="000C0B42" w:rsidP="000C0B42">
      <w:r>
        <w:t>Figures should have a clean and precise format. Data markers and lines should not be large and bulky, but also not too small to make them difficult to see. Legends, if more than one data series, and labels should be provided</w:t>
      </w:r>
      <w:r w:rsidR="00C61511">
        <w:t xml:space="preserve"> in 10 pt fonts and be</w:t>
      </w:r>
      <w:r>
        <w:t xml:space="preserve"> clear and concise with units as needed. Quantitative calculus notation for units should be used </w:t>
      </w:r>
      <w:r>
        <w:fldChar w:fldCharType="begin"/>
      </w:r>
      <w:r w:rsidR="007D16A6">
        <w:instrText xml:space="preserve"> ADDIN ZOTERO_ITEM CSL_CITATION {"citationID":"d6wRfgYh","properties":{"formattedCitation":"[1]","plainCitation":"[1]","noteIndex":0},"citationItems":[{"id":3789,"uris":["http://zotero.org/groups/2596158/items/7MWFP6ZQ"],"itemData":{"id":3789,"type":"article-journal","abstract":"The method of quantity calculus treats physical quantities as the product of a numerical value and a unit. This method, known for more than a century and internationally recommended for handling of physical quantities, is not used as extensively in textbooks and teaching as it could be. This paper gives some background to the methodology, and shows examples, suitable for teaching to undergraduate students, of the use of quantity calculus to provide unambiguous representations of physical quantities in tables and graphs.","container-title":"Journal of Chemical Education","DOI":"10.1021/ed075p607","ISSN":"0021-9584","issue":"5","journalAbbreviation":"J. Chem. Educ.","note":"publisher: American Chemical Society","page":"607","source":"ACS Publications","title":"Quantity Calculus: Unambiguous Designation of Values and Units in Graphs and Tables","title-short":"Quantity Calculus","URL":"https://doi.org/10.1021/ed075p607","volume":"75","author":[{"family":"White","given":"Mary Anne"}],"accessed":{"date-parts":[["2024",1,3]]},"issued":{"date-parts":[["1998",5,1]]}}}],"schema":"https://github.com/citation-style-language/schema/raw/master/csl-citation.json"} </w:instrText>
      </w:r>
      <w:r>
        <w:fldChar w:fldCharType="separate"/>
      </w:r>
      <w:r w:rsidR="007D16A6" w:rsidRPr="007D16A6">
        <w:rPr>
          <w:rFonts w:ascii="Garamond" w:hAnsi="Garamond"/>
        </w:rPr>
        <w:t>[1]</w:t>
      </w:r>
      <w:r>
        <w:fldChar w:fldCharType="end"/>
      </w:r>
      <w:r w:rsidR="007D16A6">
        <w:t>.</w:t>
      </w:r>
      <w:r>
        <w:t xml:space="preserve"> </w:t>
      </w:r>
      <w:r w:rsidR="007D16A6">
        <w:t>Captions for figures should be</w:t>
      </w:r>
      <w:r w:rsidR="000D4E22">
        <w:t xml:space="preserve"> referenced in text (see </w:t>
      </w:r>
      <w:r w:rsidR="000D4E22" w:rsidRPr="000D4E22">
        <w:fldChar w:fldCharType="begin"/>
      </w:r>
      <w:r w:rsidR="000D4E22" w:rsidRPr="000D4E22">
        <w:instrText xml:space="preserve"> REF _Ref155184711 \h  \* MERGEFORMAT </w:instrText>
      </w:r>
      <w:r w:rsidR="000D4E22" w:rsidRPr="000D4E22">
        <w:fldChar w:fldCharType="separate"/>
      </w:r>
      <w:r w:rsidR="000D4E22" w:rsidRPr="000D4E22">
        <w:t xml:space="preserve">Figure </w:t>
      </w:r>
      <w:r w:rsidR="000D4E22" w:rsidRPr="000D4E22">
        <w:rPr>
          <w:noProof/>
        </w:rPr>
        <w:t>1</w:t>
      </w:r>
      <w:r w:rsidR="000D4E22" w:rsidRPr="000D4E22">
        <w:fldChar w:fldCharType="end"/>
      </w:r>
      <w:r w:rsidR="000D4E22">
        <w:t>) before the figure appears</w:t>
      </w:r>
      <w:r w:rsidR="007D16A6">
        <w:t>.</w:t>
      </w:r>
      <w:r w:rsidR="000D4E22" w:rsidRPr="000D4E22">
        <w:t xml:space="preserve"> </w:t>
      </w:r>
      <w:r w:rsidR="000D4E22">
        <w:t xml:space="preserve">Please refer to </w:t>
      </w:r>
      <w:hyperlink r:id="rId12" w:history="1">
        <w:r w:rsidR="000D4E22" w:rsidRPr="000C0B42">
          <w:rPr>
            <w:rStyle w:val="Hyperlink"/>
          </w:rPr>
          <w:t>this document</w:t>
        </w:r>
      </w:hyperlink>
      <w:r w:rsidR="000D4E22">
        <w:t xml:space="preserve"> for more guidelines for making quality figures </w:t>
      </w:r>
      <w:r w:rsidR="000D4E22">
        <w:fldChar w:fldCharType="begin"/>
      </w:r>
      <w:r w:rsidR="000D4E22">
        <w:instrText xml:space="preserve"> ADDIN ZOTERO_ITEM CSL_CITATION {"citationID":"XFpkwEaS","properties":{"formattedCitation":"[2]","plainCitation":"[2]","noteIndex":0},"citationItems":[{"id":3787,"uris":["http://zotero.org/groups/2596158/items/AWZMJ94F"],"itemData":{"id":3787,"type":"webpage","language":"en-US","title":"Publication Checklist","URL":"https://byu.app.box.com/s/grrmzcutvdtvfga3dm5zekyx1uraf589","author":[{"family":"Rappleye","given":"Devin"}],"accessed":{"date-parts":[["2024",1,3]]},"issued":{"date-parts":[["2023"]]}}}],"schema":"https://github.com/citation-style-language/schema/raw/master/csl-citation.json"} </w:instrText>
      </w:r>
      <w:r w:rsidR="000D4E22">
        <w:fldChar w:fldCharType="separate"/>
      </w:r>
      <w:r w:rsidR="000D4E22" w:rsidRPr="007D16A6">
        <w:rPr>
          <w:rFonts w:ascii="Garamond" w:hAnsi="Garamond"/>
        </w:rPr>
        <w:t>[2]</w:t>
      </w:r>
      <w:r w:rsidR="000D4E22">
        <w:fldChar w:fldCharType="end"/>
      </w:r>
      <w:r w:rsidR="000D4E22">
        <w:t>.</w:t>
      </w:r>
    </w:p>
    <w:p w14:paraId="13975874" w14:textId="0573F2BC" w:rsidR="007D16A6" w:rsidRDefault="007D16A6" w:rsidP="000C0B42">
      <w:r w:rsidRPr="007D16A6">
        <w:rPr>
          <w:noProof/>
        </w:rPr>
        <w:drawing>
          <wp:inline distT="0" distB="0" distL="0" distR="0" wp14:anchorId="4C33C75D" wp14:editId="0CA145FD">
            <wp:extent cx="2743200" cy="1959610"/>
            <wp:effectExtent l="0" t="0" r="0" b="2540"/>
            <wp:docPr id="125760794" name="Chart 1">
              <a:extLst xmlns:a="http://schemas.openxmlformats.org/drawingml/2006/main">
                <a:ext uri="{FF2B5EF4-FFF2-40B4-BE49-F238E27FC236}">
                  <a16:creationId xmlns:a16="http://schemas.microsoft.com/office/drawing/2014/main" id="{FF51FF98-E2A8-C8E1-E2A3-3AEF26EB919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D79FF22" w14:textId="650A1B6A" w:rsidR="000D4E22" w:rsidRDefault="000D4E22" w:rsidP="000D4E22">
      <w:pPr>
        <w:pStyle w:val="Caption"/>
      </w:pPr>
      <w:bookmarkStart w:id="0" w:name="_Ref155184711"/>
      <w:r w:rsidRPr="000D4E22">
        <w:rPr>
          <w:b/>
          <w:bCs/>
        </w:rPr>
        <w:t xml:space="preserve">Figure </w:t>
      </w:r>
      <w:r w:rsidRPr="000D4E22">
        <w:rPr>
          <w:b/>
          <w:bCs/>
        </w:rPr>
        <w:fldChar w:fldCharType="begin"/>
      </w:r>
      <w:r w:rsidRPr="000D4E22">
        <w:rPr>
          <w:b/>
          <w:bCs/>
        </w:rPr>
        <w:instrText xml:space="preserve"> SEQ Figure \* ARABIC </w:instrText>
      </w:r>
      <w:r w:rsidRPr="000D4E22">
        <w:rPr>
          <w:b/>
          <w:bCs/>
        </w:rPr>
        <w:fldChar w:fldCharType="separate"/>
      </w:r>
      <w:r w:rsidRPr="000D4E22">
        <w:rPr>
          <w:b/>
          <w:bCs/>
          <w:noProof/>
        </w:rPr>
        <w:t>1</w:t>
      </w:r>
      <w:r w:rsidRPr="000D4E22">
        <w:rPr>
          <w:b/>
          <w:bCs/>
        </w:rPr>
        <w:fldChar w:fldCharType="end"/>
      </w:r>
      <w:bookmarkEnd w:id="0"/>
      <w:r w:rsidRPr="000D4E22">
        <w:rPr>
          <w:b/>
          <w:bCs/>
        </w:rPr>
        <w:t>:</w:t>
      </w:r>
      <w:r>
        <w:rPr>
          <w:b/>
          <w:bCs/>
        </w:rPr>
        <w:t xml:space="preserve"> </w:t>
      </w:r>
      <w:r>
        <w:t>Peak width as a function of pulse width (</w:t>
      </w:r>
      <w:proofErr w:type="spellStart"/>
      <w:r>
        <w:t>Δt</w:t>
      </w:r>
      <w:proofErr w:type="spellEnd"/>
      <w:r>
        <w:t>) with a soluble-soluble, simple, and complex model overlayed.</w:t>
      </w:r>
    </w:p>
    <w:p w14:paraId="50530ACB" w14:textId="196E2431" w:rsidR="000D4E22" w:rsidRDefault="000D4E22" w:rsidP="000D4E22">
      <w:pPr>
        <w:pStyle w:val="Heading2"/>
      </w:pPr>
      <w:r>
        <w:lastRenderedPageBreak/>
        <w:t>Tables</w:t>
      </w:r>
    </w:p>
    <w:p w14:paraId="12A4AF37" w14:textId="0A0D9BED" w:rsidR="000D4E22" w:rsidRDefault="000D4E22" w:rsidP="000D4E22">
      <w:r>
        <w:t xml:space="preserve">Tables should have short descriptive headers and should provide units in quantity calculus form </w:t>
      </w:r>
      <w:r>
        <w:fldChar w:fldCharType="begin"/>
      </w:r>
      <w:r>
        <w:instrText xml:space="preserve"> ADDIN ZOTERO_ITEM CSL_CITATION {"citationID":"iHzCvC6k","properties":{"formattedCitation":"[1]","plainCitation":"[1]","noteIndex":0},"citationItems":[{"id":3789,"uris":["http://zotero.org/groups/2596158/items/7MWFP6ZQ"],"itemData":{"id":3789,"type":"article-journal","abstract":"The method of quantity calculus treats physical quantities as the product of a numerical value and a unit. This method, known for more than a century and internationally recommended for handling of physical quantities, is not used as extensively in textbooks and teaching as it could be. This paper gives some background to the methodology, and shows examples, suitable for teaching to undergraduate students, of the use of quantity calculus to provide unambiguous representations of physical quantities in tables and graphs.","container-title":"Journal of Chemical Education","DOI":"10.1021/ed075p607","ISSN":"0021-9584","issue":"5","journalAbbreviation":"J. Chem. Educ.","note":"publisher: American Chemical Society","page":"607","source":"ACS Publications","title":"Quantity Calculus: Unambiguous Designation of Values and Units in Graphs and Tables","title-short":"Quantity Calculus","URL":"https://doi.org/10.1021/ed075p607","volume":"75","author":[{"family":"White","given":"Mary Anne"}],"accessed":{"date-parts":[["2024",1,3]]},"issued":{"date-parts":[["1998",5,1]]}}}],"schema":"https://github.com/citation-style-language/schema/raw/master/csl-citation.json"} </w:instrText>
      </w:r>
      <w:r>
        <w:fldChar w:fldCharType="separate"/>
      </w:r>
      <w:r w:rsidRPr="000D4E22">
        <w:rPr>
          <w:rFonts w:ascii="Garamond" w:hAnsi="Garamond"/>
        </w:rPr>
        <w:t>[1]</w:t>
      </w:r>
      <w:r>
        <w:fldChar w:fldCharType="end"/>
      </w:r>
      <w:r>
        <w:t xml:space="preserve">. Captions for tables should appear above the table (see </w:t>
      </w:r>
      <w:r w:rsidRPr="000D4E22">
        <w:fldChar w:fldCharType="begin"/>
      </w:r>
      <w:r w:rsidRPr="000D4E22">
        <w:instrText xml:space="preserve"> REF _Ref155185088 \h  \* MERGEFORMAT </w:instrText>
      </w:r>
      <w:r w:rsidRPr="000D4E22">
        <w:fldChar w:fldCharType="separate"/>
      </w:r>
      <w:r w:rsidRPr="000D4E22">
        <w:t xml:space="preserve">Table </w:t>
      </w:r>
      <w:r w:rsidRPr="000D4E22">
        <w:rPr>
          <w:noProof/>
        </w:rPr>
        <w:t>1</w:t>
      </w:r>
      <w:r w:rsidRPr="000D4E22">
        <w:fldChar w:fldCharType="end"/>
      </w:r>
      <w:r>
        <w:t xml:space="preserve">) and should be referenced before the Table appears. Font size in tables should be 10 pt Please refer to </w:t>
      </w:r>
      <w:hyperlink r:id="rId14" w:history="1">
        <w:r w:rsidRPr="000C0B42">
          <w:rPr>
            <w:rStyle w:val="Hyperlink"/>
          </w:rPr>
          <w:t>this document</w:t>
        </w:r>
      </w:hyperlink>
      <w:r>
        <w:t xml:space="preserve"> for more guidelines for making quality tables </w:t>
      </w:r>
      <w:r>
        <w:fldChar w:fldCharType="begin"/>
      </w:r>
      <w:r w:rsidR="00C61511">
        <w:instrText xml:space="preserve"> ADDIN ZOTERO_ITEM CSL_CITATION {"citationID":"DtBpYn3w","properties":{"formattedCitation":"[2]","plainCitation":"[2]","noteIndex":0},"citationItems":[{"id":3787,"uris":["http://zotero.org/groups/2596158/items/AWZMJ94F"],"itemData":{"id":3787,"type":"webpage","language":"en-US","title":"Publication Checklist","URL":"https://byu.app.box.com/s/grrmzcutvdtvfga3dm5zekyx1uraf589","author":[{"family":"Rappleye","given":"Devin"}],"accessed":{"date-parts":[["2024",1,3]]},"issued":{"date-parts":[["2023"]]}}}],"schema":"https://github.com/citation-style-language/schema/raw/master/csl-citation.json"} </w:instrText>
      </w:r>
      <w:r>
        <w:fldChar w:fldCharType="separate"/>
      </w:r>
      <w:r w:rsidRPr="007D16A6">
        <w:rPr>
          <w:rFonts w:ascii="Garamond" w:hAnsi="Garamond"/>
        </w:rPr>
        <w:t>[2]</w:t>
      </w:r>
      <w:r>
        <w:fldChar w:fldCharType="end"/>
      </w:r>
      <w:r>
        <w:t>.</w:t>
      </w:r>
    </w:p>
    <w:p w14:paraId="412FD664" w14:textId="346C6169" w:rsidR="000D4E22" w:rsidRDefault="000D4E22" w:rsidP="000D4E22">
      <w:pPr>
        <w:pStyle w:val="Caption"/>
      </w:pPr>
      <w:bookmarkStart w:id="1" w:name="_Ref155185088"/>
      <w:r w:rsidRPr="000D4E22">
        <w:rPr>
          <w:b/>
          <w:bCs/>
        </w:rPr>
        <w:t xml:space="preserve">Table </w:t>
      </w:r>
      <w:r w:rsidRPr="000D4E22">
        <w:rPr>
          <w:b/>
          <w:bCs/>
        </w:rPr>
        <w:fldChar w:fldCharType="begin"/>
      </w:r>
      <w:r w:rsidRPr="000D4E22">
        <w:rPr>
          <w:b/>
          <w:bCs/>
        </w:rPr>
        <w:instrText xml:space="preserve"> SEQ Table \* ARABIC </w:instrText>
      </w:r>
      <w:r w:rsidRPr="000D4E22">
        <w:rPr>
          <w:b/>
          <w:bCs/>
        </w:rPr>
        <w:fldChar w:fldCharType="separate"/>
      </w:r>
      <w:r>
        <w:rPr>
          <w:b/>
          <w:bCs/>
          <w:noProof/>
        </w:rPr>
        <w:t>1</w:t>
      </w:r>
      <w:r w:rsidRPr="000D4E22">
        <w:rPr>
          <w:b/>
          <w:bCs/>
        </w:rPr>
        <w:fldChar w:fldCharType="end"/>
      </w:r>
      <w:bookmarkEnd w:id="1"/>
      <w:r>
        <w:t>: Measured current density at sampled times.</w:t>
      </w:r>
    </w:p>
    <w:tbl>
      <w:tblPr>
        <w:tblStyle w:val="TableGrid"/>
        <w:tblW w:w="3791" w:type="dxa"/>
        <w:jc w:val="center"/>
        <w:tblLook w:val="04A0" w:firstRow="1" w:lastRow="0" w:firstColumn="1" w:lastColumn="0" w:noHBand="0" w:noVBand="1"/>
      </w:tblPr>
      <w:tblGrid>
        <w:gridCol w:w="1193"/>
        <w:gridCol w:w="2598"/>
      </w:tblGrid>
      <w:tr w:rsidR="000D4E22" w14:paraId="3F70AEE3" w14:textId="77777777" w:rsidTr="000D4E22">
        <w:trPr>
          <w:jc w:val="center"/>
        </w:trPr>
        <w:tc>
          <w:tcPr>
            <w:tcW w:w="1193" w:type="dxa"/>
          </w:tcPr>
          <w:p w14:paraId="4A9E8972" w14:textId="77777777" w:rsidR="000D4E22" w:rsidRPr="000D4E22" w:rsidRDefault="000D4E22" w:rsidP="001440AE">
            <w:pPr>
              <w:jc w:val="center"/>
              <w:rPr>
                <w:b/>
                <w:bCs/>
                <w:sz w:val="20"/>
                <w:szCs w:val="20"/>
              </w:rPr>
            </w:pPr>
            <w:r w:rsidRPr="000D4E22">
              <w:rPr>
                <w:b/>
                <w:bCs/>
                <w:sz w:val="20"/>
                <w:szCs w:val="20"/>
              </w:rPr>
              <w:t>Time / s</w:t>
            </w:r>
          </w:p>
        </w:tc>
        <w:tc>
          <w:tcPr>
            <w:tcW w:w="2598" w:type="dxa"/>
          </w:tcPr>
          <w:p w14:paraId="3F0BB6CD" w14:textId="77777777" w:rsidR="000D4E22" w:rsidRPr="000D4E22" w:rsidRDefault="000D4E22" w:rsidP="001440AE">
            <w:pPr>
              <w:jc w:val="center"/>
              <w:rPr>
                <w:b/>
                <w:bCs/>
                <w:sz w:val="20"/>
                <w:szCs w:val="20"/>
                <w:vertAlign w:val="superscript"/>
              </w:rPr>
            </w:pPr>
            <w:proofErr w:type="gramStart"/>
            <w:r w:rsidRPr="000D4E22">
              <w:rPr>
                <w:b/>
                <w:bCs/>
                <w:sz w:val="20"/>
                <w:szCs w:val="20"/>
              </w:rPr>
              <w:t>Current</w:t>
            </w:r>
            <w:proofErr w:type="gramEnd"/>
            <w:r w:rsidRPr="000D4E22">
              <w:rPr>
                <w:b/>
                <w:bCs/>
                <w:sz w:val="20"/>
                <w:szCs w:val="20"/>
              </w:rPr>
              <w:t xml:space="preserve"> Density / A cm</w:t>
            </w:r>
            <w:r w:rsidRPr="000D4E22">
              <w:rPr>
                <w:b/>
                <w:bCs/>
                <w:sz w:val="20"/>
                <w:szCs w:val="20"/>
                <w:vertAlign w:val="superscript"/>
              </w:rPr>
              <w:t>-2</w:t>
            </w:r>
          </w:p>
        </w:tc>
      </w:tr>
      <w:tr w:rsidR="000D4E22" w14:paraId="7065394F" w14:textId="77777777" w:rsidTr="000D4E22">
        <w:trPr>
          <w:jc w:val="center"/>
        </w:trPr>
        <w:tc>
          <w:tcPr>
            <w:tcW w:w="1193" w:type="dxa"/>
          </w:tcPr>
          <w:p w14:paraId="60F22131" w14:textId="77777777" w:rsidR="000D4E22" w:rsidRPr="000D4E22" w:rsidRDefault="000D4E22" w:rsidP="001440AE">
            <w:pPr>
              <w:jc w:val="center"/>
              <w:rPr>
                <w:sz w:val="20"/>
                <w:szCs w:val="20"/>
              </w:rPr>
            </w:pPr>
            <w:r w:rsidRPr="000D4E22">
              <w:rPr>
                <w:sz w:val="20"/>
                <w:szCs w:val="20"/>
              </w:rPr>
              <w:t>1</w:t>
            </w:r>
          </w:p>
        </w:tc>
        <w:tc>
          <w:tcPr>
            <w:tcW w:w="2598" w:type="dxa"/>
          </w:tcPr>
          <w:p w14:paraId="43F02FC4" w14:textId="77777777" w:rsidR="000D4E22" w:rsidRPr="000D4E22" w:rsidRDefault="000D4E22" w:rsidP="001440AE">
            <w:pPr>
              <w:jc w:val="center"/>
              <w:rPr>
                <w:sz w:val="20"/>
                <w:szCs w:val="20"/>
              </w:rPr>
            </w:pPr>
            <w:r w:rsidRPr="000D4E22">
              <w:rPr>
                <w:sz w:val="20"/>
                <w:szCs w:val="20"/>
              </w:rPr>
              <w:t>0.551</w:t>
            </w:r>
          </w:p>
        </w:tc>
      </w:tr>
      <w:tr w:rsidR="000D4E22" w14:paraId="241AFD33" w14:textId="77777777" w:rsidTr="000D4E22">
        <w:trPr>
          <w:jc w:val="center"/>
        </w:trPr>
        <w:tc>
          <w:tcPr>
            <w:tcW w:w="1193" w:type="dxa"/>
          </w:tcPr>
          <w:p w14:paraId="765473FF" w14:textId="77777777" w:rsidR="000D4E22" w:rsidRPr="000D4E22" w:rsidRDefault="000D4E22" w:rsidP="001440AE">
            <w:pPr>
              <w:jc w:val="center"/>
              <w:rPr>
                <w:sz w:val="20"/>
                <w:szCs w:val="20"/>
              </w:rPr>
            </w:pPr>
            <w:r w:rsidRPr="000D4E22">
              <w:rPr>
                <w:sz w:val="20"/>
                <w:szCs w:val="20"/>
              </w:rPr>
              <w:t>2</w:t>
            </w:r>
          </w:p>
        </w:tc>
        <w:tc>
          <w:tcPr>
            <w:tcW w:w="2598" w:type="dxa"/>
          </w:tcPr>
          <w:p w14:paraId="20F2F7D9" w14:textId="77777777" w:rsidR="000D4E22" w:rsidRPr="000D4E22" w:rsidRDefault="000D4E22" w:rsidP="001440AE">
            <w:pPr>
              <w:jc w:val="center"/>
              <w:rPr>
                <w:sz w:val="20"/>
                <w:szCs w:val="20"/>
              </w:rPr>
            </w:pPr>
            <w:r w:rsidRPr="000D4E22">
              <w:rPr>
                <w:sz w:val="20"/>
                <w:szCs w:val="20"/>
              </w:rPr>
              <w:t>0.258</w:t>
            </w:r>
          </w:p>
        </w:tc>
      </w:tr>
    </w:tbl>
    <w:p w14:paraId="07AE73D6" w14:textId="4974FC77" w:rsidR="000D4E22" w:rsidRDefault="00C61511" w:rsidP="00C61511">
      <w:pPr>
        <w:pStyle w:val="Heading2"/>
      </w:pPr>
      <w:r>
        <w:t>Discussion of Figures and Tables</w:t>
      </w:r>
    </w:p>
    <w:p w14:paraId="118539AE" w14:textId="0663CF12" w:rsidR="00C61511" w:rsidRDefault="00C61511" w:rsidP="00C61511">
      <w:r>
        <w:t xml:space="preserve">All figures and tables should be a single-column (3”) or double-column (6.5”) in width. Discussion should be provided of the results presented in figures and tables should be provided after presenting the tables and figures (it does not need to </w:t>
      </w:r>
      <w:proofErr w:type="gramStart"/>
      <w:r>
        <w:t>provided</w:t>
      </w:r>
      <w:proofErr w:type="gramEnd"/>
      <w:r>
        <w:t xml:space="preserve"> in separate tables section like it is here).</w:t>
      </w:r>
    </w:p>
    <w:p w14:paraId="5EF414DF" w14:textId="6F180955" w:rsidR="00C61511" w:rsidRDefault="00C61511" w:rsidP="00C61511">
      <w:pPr>
        <w:pStyle w:val="Heading1"/>
      </w:pPr>
      <w:r>
        <w:t>Conclusions</w:t>
      </w:r>
    </w:p>
    <w:p w14:paraId="72CE0A76" w14:textId="1973A91E" w:rsidR="00C61511" w:rsidRDefault="00C61511" w:rsidP="00C61511">
      <w:r>
        <w:t xml:space="preserve">A concise statement of the key findings of your work should be provided. This should not read like a summary. It should be direct, to-the-point, and supported by data analysis and discussion. No new material should be presented here with </w:t>
      </w:r>
      <w:proofErr w:type="gramStart"/>
      <w:r>
        <w:t>exception</w:t>
      </w:r>
      <w:proofErr w:type="gramEnd"/>
      <w:r>
        <w:t xml:space="preserve"> of recommendations for future work (if desired). This should be ¼  to ½ page in length.</w:t>
      </w:r>
    </w:p>
    <w:p w14:paraId="77E766AD" w14:textId="3447BEBC" w:rsidR="00C61511" w:rsidRDefault="00C61511" w:rsidP="00C61511">
      <w:pPr>
        <w:pStyle w:val="Heading1"/>
      </w:pPr>
      <w:r>
        <w:t>Acknowledgements</w:t>
      </w:r>
    </w:p>
    <w:p w14:paraId="53ED9E1A" w14:textId="15D07D4E" w:rsidR="00C61511" w:rsidRDefault="00C61511" w:rsidP="00C61511">
      <w:r>
        <w:t>Provide any acknowledgements (optional)</w:t>
      </w:r>
    </w:p>
    <w:p w14:paraId="60D93320" w14:textId="365CFE31" w:rsidR="00C61511" w:rsidRDefault="00C61511" w:rsidP="00C61511">
      <w:pPr>
        <w:pStyle w:val="Heading1"/>
      </w:pPr>
      <w:r>
        <w:t>References</w:t>
      </w:r>
    </w:p>
    <w:p w14:paraId="3B418C4E" w14:textId="4F3E2167" w:rsidR="00C61511" w:rsidRPr="00C61511" w:rsidRDefault="00C61511" w:rsidP="00C61511">
      <w:r>
        <w:t xml:space="preserve">References should </w:t>
      </w:r>
      <w:proofErr w:type="spellStart"/>
      <w:proofErr w:type="gramStart"/>
      <w:r>
        <w:t>given</w:t>
      </w:r>
      <w:proofErr w:type="spellEnd"/>
      <w:proofErr w:type="gramEnd"/>
      <w:r>
        <w:t xml:space="preserve"> listed in IEEE format, as shown below. You can use Zotero or other similar reference management software, desired.</w:t>
      </w:r>
      <w:r w:rsidR="002D4E55">
        <w:t xml:space="preserve"> Journal should be abbreviated according to CASSI (</w:t>
      </w:r>
      <w:hyperlink r:id="rId15" w:history="1">
        <w:r w:rsidR="002D4E55">
          <w:rPr>
            <w:rStyle w:val="Hyperlink"/>
          </w:rPr>
          <w:t>CAS Source Index (CASSI) Search Tool</w:t>
        </w:r>
      </w:hyperlink>
      <w:r w:rsidR="002D4E55">
        <w:t>)</w:t>
      </w:r>
    </w:p>
    <w:p w14:paraId="727F2251" w14:textId="77777777" w:rsidR="00C61511" w:rsidRPr="00C61511" w:rsidRDefault="00C61511" w:rsidP="00C61511">
      <w:pPr>
        <w:pStyle w:val="Bibliography"/>
        <w:rPr>
          <w:rFonts w:ascii="Garamond" w:hAnsi="Garamond"/>
        </w:rPr>
      </w:pPr>
      <w:r>
        <w:fldChar w:fldCharType="begin"/>
      </w:r>
      <w:r>
        <w:instrText xml:space="preserve"> ADDIN ZOTERO_BIBL {"uncited":[],"omitted":[],"custom":[]} CSL_BIBLIOGRAPHY </w:instrText>
      </w:r>
      <w:r>
        <w:fldChar w:fldCharType="separate"/>
      </w:r>
      <w:r w:rsidRPr="00C61511">
        <w:rPr>
          <w:rFonts w:ascii="Garamond" w:hAnsi="Garamond"/>
        </w:rPr>
        <w:t>[1]</w:t>
      </w:r>
      <w:r w:rsidRPr="00C61511">
        <w:rPr>
          <w:rFonts w:ascii="Garamond" w:hAnsi="Garamond"/>
        </w:rPr>
        <w:tab/>
        <w:t xml:space="preserve">M. A. White, “Quantity Calculus: Unambiguous Designation of Values and Units in Graphs and Tables,” </w:t>
      </w:r>
      <w:r w:rsidRPr="00C61511">
        <w:rPr>
          <w:rFonts w:ascii="Garamond" w:hAnsi="Garamond"/>
          <w:i/>
          <w:iCs/>
        </w:rPr>
        <w:t>J. Chem. Educ.</w:t>
      </w:r>
      <w:r w:rsidRPr="00C61511">
        <w:rPr>
          <w:rFonts w:ascii="Garamond" w:hAnsi="Garamond"/>
        </w:rPr>
        <w:t>, vol. 75, no. 5, p. 607, May 1998, doi: 10.1021/ed075p607.</w:t>
      </w:r>
    </w:p>
    <w:p w14:paraId="12546B59" w14:textId="77777777" w:rsidR="00C61511" w:rsidRPr="00C61511" w:rsidRDefault="00C61511" w:rsidP="00C61511">
      <w:pPr>
        <w:pStyle w:val="Bibliography"/>
        <w:rPr>
          <w:rFonts w:ascii="Garamond" w:hAnsi="Garamond"/>
        </w:rPr>
      </w:pPr>
      <w:r w:rsidRPr="00C61511">
        <w:rPr>
          <w:rFonts w:ascii="Garamond" w:hAnsi="Garamond"/>
        </w:rPr>
        <w:t>[2]</w:t>
      </w:r>
      <w:r w:rsidRPr="00C61511">
        <w:rPr>
          <w:rFonts w:ascii="Garamond" w:hAnsi="Garamond"/>
        </w:rPr>
        <w:tab/>
        <w:t>D. Rappleye, “Publication Checklist.” Accessed: Jan. 03, 2024. [Online]. Available: https://byu.app.box.com/s/grrmzcutvdtvfga3dm5zekyx1uraf589</w:t>
      </w:r>
    </w:p>
    <w:p w14:paraId="499B1CA1" w14:textId="1536702A" w:rsidR="00C61511" w:rsidRPr="00C61511" w:rsidRDefault="00C61511" w:rsidP="00C61511">
      <w:r>
        <w:fldChar w:fldCharType="end"/>
      </w:r>
    </w:p>
    <w:p w14:paraId="5BADE5C3" w14:textId="77777777" w:rsidR="000D4E22" w:rsidRPr="000D4E22" w:rsidRDefault="000D4E22">
      <w:pPr>
        <w:pStyle w:val="Caption"/>
      </w:pPr>
    </w:p>
    <w:sectPr w:rsidR="000D4E22" w:rsidRPr="000D4E22" w:rsidSect="00350D3B">
      <w:type w:val="continuous"/>
      <w:pgSz w:w="12240" w:h="15840"/>
      <w:pgMar w:top="1440" w:right="1440" w:bottom="1440" w:left="1440" w:header="720" w:footer="720" w:gutter="0"/>
      <w:cols w:num="2"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FB7537" w14:textId="77777777" w:rsidR="00402469" w:rsidRDefault="00402469" w:rsidP="00087AFF">
      <w:pPr>
        <w:spacing w:after="0" w:line="240" w:lineRule="auto"/>
      </w:pPr>
      <w:r>
        <w:separator/>
      </w:r>
    </w:p>
  </w:endnote>
  <w:endnote w:type="continuationSeparator" w:id="0">
    <w:p w14:paraId="667C9189" w14:textId="77777777" w:rsidR="00402469" w:rsidRDefault="00402469" w:rsidP="00087A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35074891"/>
      <w:docPartObj>
        <w:docPartGallery w:val="Page Numbers (Bottom of Page)"/>
        <w:docPartUnique/>
      </w:docPartObj>
    </w:sdtPr>
    <w:sdtEndPr>
      <w:rPr>
        <w:noProof/>
      </w:rPr>
    </w:sdtEndPr>
    <w:sdtContent>
      <w:p w14:paraId="258BF750" w14:textId="6EC83D88" w:rsidR="00885899" w:rsidRDefault="00885899">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FDE1302" w14:textId="77777777" w:rsidR="00885899" w:rsidRDefault="0088589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755CF9" w14:textId="00C5804E" w:rsidR="00087AFF" w:rsidRPr="00087AFF" w:rsidRDefault="00087AFF" w:rsidP="00087AFF">
    <w:pPr>
      <w:pStyle w:val="Footer"/>
      <w:jc w:val="left"/>
      <w:rPr>
        <w:sz w:val="20"/>
        <w:szCs w:val="20"/>
      </w:rPr>
    </w:pPr>
    <w:r w:rsidRPr="00087AFF">
      <w:rPr>
        <w:sz w:val="20"/>
        <w:szCs w:val="20"/>
      </w:rPr>
      <w:t>This work is licensed under CC BY 4.0. To view a copy of this license, visit http://creativecommons.org/licenses/by/4.0/</w:t>
    </w:r>
    <w:r w:rsidRPr="00087AFF">
      <w:rPr>
        <w:sz w:val="20"/>
        <w:szCs w:val="20"/>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7BE6FA" w14:textId="77777777" w:rsidR="00402469" w:rsidRDefault="00402469" w:rsidP="00087AFF">
      <w:pPr>
        <w:spacing w:after="0" w:line="240" w:lineRule="auto"/>
      </w:pPr>
      <w:r>
        <w:separator/>
      </w:r>
    </w:p>
  </w:footnote>
  <w:footnote w:type="continuationSeparator" w:id="0">
    <w:p w14:paraId="70BFF77F" w14:textId="77777777" w:rsidR="00402469" w:rsidRDefault="00402469" w:rsidP="00087AF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865709" w14:textId="37E2AD48" w:rsidR="00885899" w:rsidRPr="00885899" w:rsidRDefault="00885899">
    <w:pPr>
      <w:pStyle w:val="Header"/>
    </w:pPr>
    <w:r>
      <w:t xml:space="preserve">[Insert Author Name], </w:t>
    </w:r>
    <w:r w:rsidR="00163899">
      <w:t>RAISE</w:t>
    </w:r>
    <w:r>
      <w:t xml:space="preserve">, </w:t>
    </w:r>
    <w:r w:rsidRPr="00885899">
      <w:rPr>
        <w:b/>
        <w:bCs/>
      </w:rPr>
      <w:t>1</w:t>
    </w:r>
    <w:r>
      <w:t xml:space="preserve">, April 2024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F0DE0D" w14:textId="791E17BB" w:rsidR="00087AFF" w:rsidRDefault="00163899">
    <w:pPr>
      <w:pStyle w:val="Header"/>
    </w:pPr>
    <w:r>
      <w:t>Reviews, Analyses, and Instructional Studies in Electrochemistry (RAISE)</w:t>
    </w:r>
    <w:r w:rsidR="00885899">
      <w:tab/>
      <w:t>Vol. 1 (April 2024)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94D1B69"/>
    <w:multiLevelType w:val="hybridMultilevel"/>
    <w:tmpl w:val="6ABC2972"/>
    <w:lvl w:ilvl="0" w:tplc="AC7ECFBC">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C670917"/>
    <w:multiLevelType w:val="multilevel"/>
    <w:tmpl w:val="E646C04E"/>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num w:numId="1" w16cid:durableId="137302965">
    <w:abstractNumId w:val="0"/>
  </w:num>
  <w:num w:numId="2" w16cid:durableId="205973762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0D3B"/>
    <w:rsid w:val="00087AFF"/>
    <w:rsid w:val="000C0B42"/>
    <w:rsid w:val="000D4E22"/>
    <w:rsid w:val="00163899"/>
    <w:rsid w:val="001D3615"/>
    <w:rsid w:val="002D4E55"/>
    <w:rsid w:val="00350D3B"/>
    <w:rsid w:val="00402469"/>
    <w:rsid w:val="00782229"/>
    <w:rsid w:val="007D16A6"/>
    <w:rsid w:val="00885899"/>
    <w:rsid w:val="00A16BCC"/>
    <w:rsid w:val="00B10FC3"/>
    <w:rsid w:val="00BD77AF"/>
    <w:rsid w:val="00C13220"/>
    <w:rsid w:val="00C61511"/>
    <w:rsid w:val="00CA29CB"/>
    <w:rsid w:val="00D5094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05E1A1F"/>
  <w15:chartTrackingRefBased/>
  <w15:docId w15:val="{F1CC08FB-2CB5-4CE2-9164-0F7908D3E9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50D3B"/>
    <w:pPr>
      <w:jc w:val="both"/>
    </w:pPr>
  </w:style>
  <w:style w:type="paragraph" w:styleId="Heading1">
    <w:name w:val="heading 1"/>
    <w:basedOn w:val="Normal"/>
    <w:next w:val="Normal"/>
    <w:link w:val="Heading1Char"/>
    <w:uiPriority w:val="9"/>
    <w:qFormat/>
    <w:rsid w:val="00A16BCC"/>
    <w:pPr>
      <w:keepNext/>
      <w:keepLines/>
      <w:numPr>
        <w:numId w:val="2"/>
      </w:numPr>
      <w:spacing w:before="240" w:after="240"/>
      <w:outlineLvl w:val="0"/>
    </w:pPr>
    <w:rPr>
      <w:rFonts w:asciiTheme="majorHAnsi" w:eastAsiaTheme="majorEastAsia" w:hAnsiTheme="majorHAnsi" w:cstheme="majorBidi"/>
      <w:b/>
      <w:szCs w:val="32"/>
    </w:rPr>
  </w:style>
  <w:style w:type="paragraph" w:styleId="Heading2">
    <w:name w:val="heading 2"/>
    <w:basedOn w:val="Normal"/>
    <w:next w:val="Normal"/>
    <w:link w:val="Heading2Char"/>
    <w:uiPriority w:val="9"/>
    <w:unhideWhenUsed/>
    <w:qFormat/>
    <w:rsid w:val="00A16BCC"/>
    <w:pPr>
      <w:keepNext/>
      <w:keepLines/>
      <w:numPr>
        <w:ilvl w:val="1"/>
        <w:numId w:val="2"/>
      </w:numPr>
      <w:spacing w:before="120" w:after="120"/>
      <w:outlineLvl w:val="1"/>
    </w:pPr>
    <w:rPr>
      <w:rFonts w:asciiTheme="majorHAnsi" w:eastAsiaTheme="majorEastAsia" w:hAnsiTheme="majorHAnsi" w:cstheme="majorBidi"/>
      <w:b/>
      <w:szCs w:val="26"/>
    </w:rPr>
  </w:style>
  <w:style w:type="paragraph" w:styleId="Heading3">
    <w:name w:val="heading 3"/>
    <w:basedOn w:val="Normal"/>
    <w:next w:val="Normal"/>
    <w:link w:val="Heading3Char"/>
    <w:uiPriority w:val="9"/>
    <w:unhideWhenUsed/>
    <w:qFormat/>
    <w:rsid w:val="00A16BCC"/>
    <w:pPr>
      <w:keepNext/>
      <w:keepLines/>
      <w:numPr>
        <w:ilvl w:val="2"/>
        <w:numId w:val="2"/>
      </w:numPr>
      <w:spacing w:before="60" w:after="60"/>
      <w:outlineLvl w:val="2"/>
    </w:pPr>
    <w:rPr>
      <w:rFonts w:asciiTheme="majorHAnsi" w:eastAsiaTheme="majorEastAsia" w:hAnsiTheme="majorHAnsi" w:cstheme="majorBidi"/>
      <w:b/>
      <w:szCs w:val="24"/>
    </w:rPr>
  </w:style>
  <w:style w:type="paragraph" w:styleId="Heading4">
    <w:name w:val="heading 4"/>
    <w:basedOn w:val="Normal"/>
    <w:next w:val="Normal"/>
    <w:link w:val="Heading4Char"/>
    <w:uiPriority w:val="9"/>
    <w:semiHidden/>
    <w:unhideWhenUsed/>
    <w:qFormat/>
    <w:rsid w:val="00A16BCC"/>
    <w:pPr>
      <w:keepNext/>
      <w:keepLines/>
      <w:numPr>
        <w:ilvl w:val="3"/>
        <w:numId w:val="2"/>
      </w:numPr>
      <w:spacing w:before="40" w:after="0"/>
      <w:outlineLvl w:val="3"/>
    </w:pPr>
    <w:rPr>
      <w:rFonts w:asciiTheme="majorHAnsi" w:eastAsiaTheme="majorEastAsia" w:hAnsiTheme="majorHAnsi" w:cstheme="majorBidi"/>
      <w:i/>
      <w:iCs/>
      <w:color w:val="002245" w:themeColor="accent1" w:themeShade="BF"/>
    </w:rPr>
  </w:style>
  <w:style w:type="paragraph" w:styleId="Heading5">
    <w:name w:val="heading 5"/>
    <w:basedOn w:val="Normal"/>
    <w:next w:val="Normal"/>
    <w:link w:val="Heading5Char"/>
    <w:uiPriority w:val="9"/>
    <w:semiHidden/>
    <w:unhideWhenUsed/>
    <w:qFormat/>
    <w:rsid w:val="00A16BCC"/>
    <w:pPr>
      <w:keepNext/>
      <w:keepLines/>
      <w:numPr>
        <w:ilvl w:val="4"/>
        <w:numId w:val="2"/>
      </w:numPr>
      <w:spacing w:before="40" w:after="0"/>
      <w:outlineLvl w:val="4"/>
    </w:pPr>
    <w:rPr>
      <w:rFonts w:asciiTheme="majorHAnsi" w:eastAsiaTheme="majorEastAsia" w:hAnsiTheme="majorHAnsi" w:cstheme="majorBidi"/>
      <w:color w:val="002245" w:themeColor="accent1" w:themeShade="BF"/>
    </w:rPr>
  </w:style>
  <w:style w:type="paragraph" w:styleId="Heading6">
    <w:name w:val="heading 6"/>
    <w:basedOn w:val="Normal"/>
    <w:next w:val="Normal"/>
    <w:link w:val="Heading6Char"/>
    <w:uiPriority w:val="9"/>
    <w:semiHidden/>
    <w:unhideWhenUsed/>
    <w:qFormat/>
    <w:rsid w:val="00A16BCC"/>
    <w:pPr>
      <w:keepNext/>
      <w:keepLines/>
      <w:numPr>
        <w:ilvl w:val="5"/>
        <w:numId w:val="2"/>
      </w:numPr>
      <w:spacing w:before="40" w:after="0"/>
      <w:outlineLvl w:val="5"/>
    </w:pPr>
    <w:rPr>
      <w:rFonts w:asciiTheme="majorHAnsi" w:eastAsiaTheme="majorEastAsia" w:hAnsiTheme="majorHAnsi" w:cstheme="majorBidi"/>
      <w:color w:val="00162E" w:themeColor="accent1" w:themeShade="7F"/>
    </w:rPr>
  </w:style>
  <w:style w:type="paragraph" w:styleId="Heading7">
    <w:name w:val="heading 7"/>
    <w:basedOn w:val="Normal"/>
    <w:next w:val="Normal"/>
    <w:link w:val="Heading7Char"/>
    <w:uiPriority w:val="9"/>
    <w:semiHidden/>
    <w:unhideWhenUsed/>
    <w:qFormat/>
    <w:rsid w:val="00A16BCC"/>
    <w:pPr>
      <w:keepNext/>
      <w:keepLines/>
      <w:numPr>
        <w:ilvl w:val="6"/>
        <w:numId w:val="2"/>
      </w:numPr>
      <w:spacing w:before="40" w:after="0"/>
      <w:outlineLvl w:val="6"/>
    </w:pPr>
    <w:rPr>
      <w:rFonts w:asciiTheme="majorHAnsi" w:eastAsiaTheme="majorEastAsia" w:hAnsiTheme="majorHAnsi" w:cstheme="majorBidi"/>
      <w:i/>
      <w:iCs/>
      <w:color w:val="00162E" w:themeColor="accent1" w:themeShade="7F"/>
    </w:rPr>
  </w:style>
  <w:style w:type="paragraph" w:styleId="Heading8">
    <w:name w:val="heading 8"/>
    <w:basedOn w:val="Normal"/>
    <w:next w:val="Normal"/>
    <w:link w:val="Heading8Char"/>
    <w:uiPriority w:val="9"/>
    <w:semiHidden/>
    <w:unhideWhenUsed/>
    <w:qFormat/>
    <w:rsid w:val="00A16BCC"/>
    <w:pPr>
      <w:keepNext/>
      <w:keepLines/>
      <w:numPr>
        <w:ilvl w:val="7"/>
        <w:numId w:val="2"/>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A16BCC"/>
    <w:pPr>
      <w:keepNext/>
      <w:keepLines/>
      <w:numPr>
        <w:ilvl w:val="8"/>
        <w:numId w:val="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350D3B"/>
    <w:pPr>
      <w:spacing w:after="240"/>
      <w:contextualSpacing/>
      <w:jc w:val="center"/>
    </w:pPr>
    <w:rPr>
      <w:rFonts w:asciiTheme="majorHAnsi" w:eastAsiaTheme="majorEastAsia" w:hAnsiTheme="majorHAnsi" w:cstheme="majorBidi"/>
      <w:b/>
      <w:spacing w:val="-10"/>
      <w:kern w:val="28"/>
      <w:sz w:val="28"/>
      <w:szCs w:val="56"/>
    </w:rPr>
  </w:style>
  <w:style w:type="character" w:customStyle="1" w:styleId="TitleChar">
    <w:name w:val="Title Char"/>
    <w:basedOn w:val="DefaultParagraphFont"/>
    <w:link w:val="Title"/>
    <w:uiPriority w:val="10"/>
    <w:rsid w:val="00350D3B"/>
    <w:rPr>
      <w:rFonts w:asciiTheme="majorHAnsi" w:eastAsiaTheme="majorEastAsia" w:hAnsiTheme="majorHAnsi" w:cstheme="majorBidi"/>
      <w:b/>
      <w:spacing w:val="-10"/>
      <w:kern w:val="28"/>
      <w:sz w:val="28"/>
      <w:szCs w:val="56"/>
    </w:rPr>
  </w:style>
  <w:style w:type="character" w:customStyle="1" w:styleId="Heading1Char">
    <w:name w:val="Heading 1 Char"/>
    <w:basedOn w:val="DefaultParagraphFont"/>
    <w:link w:val="Heading1"/>
    <w:uiPriority w:val="9"/>
    <w:rsid w:val="00350D3B"/>
    <w:rPr>
      <w:rFonts w:asciiTheme="majorHAnsi" w:eastAsiaTheme="majorEastAsia" w:hAnsiTheme="majorHAnsi" w:cstheme="majorBidi"/>
      <w:b/>
      <w:szCs w:val="32"/>
    </w:rPr>
  </w:style>
  <w:style w:type="character" w:customStyle="1" w:styleId="Heading2Char">
    <w:name w:val="Heading 2 Char"/>
    <w:basedOn w:val="DefaultParagraphFont"/>
    <w:link w:val="Heading2"/>
    <w:uiPriority w:val="9"/>
    <w:rsid w:val="00A16BCC"/>
    <w:rPr>
      <w:rFonts w:asciiTheme="majorHAnsi" w:eastAsiaTheme="majorEastAsia" w:hAnsiTheme="majorHAnsi" w:cstheme="majorBidi"/>
      <w:b/>
      <w:szCs w:val="26"/>
    </w:rPr>
  </w:style>
  <w:style w:type="character" w:customStyle="1" w:styleId="Heading3Char">
    <w:name w:val="Heading 3 Char"/>
    <w:basedOn w:val="DefaultParagraphFont"/>
    <w:link w:val="Heading3"/>
    <w:uiPriority w:val="9"/>
    <w:rsid w:val="00A16BCC"/>
    <w:rPr>
      <w:rFonts w:asciiTheme="majorHAnsi" w:eastAsiaTheme="majorEastAsia" w:hAnsiTheme="majorHAnsi" w:cstheme="majorBidi"/>
      <w:b/>
      <w:szCs w:val="24"/>
    </w:rPr>
  </w:style>
  <w:style w:type="character" w:customStyle="1" w:styleId="Heading4Char">
    <w:name w:val="Heading 4 Char"/>
    <w:basedOn w:val="DefaultParagraphFont"/>
    <w:link w:val="Heading4"/>
    <w:uiPriority w:val="9"/>
    <w:semiHidden/>
    <w:rsid w:val="00A16BCC"/>
    <w:rPr>
      <w:rFonts w:asciiTheme="majorHAnsi" w:eastAsiaTheme="majorEastAsia" w:hAnsiTheme="majorHAnsi" w:cstheme="majorBidi"/>
      <w:i/>
      <w:iCs/>
      <w:color w:val="002245" w:themeColor="accent1" w:themeShade="BF"/>
    </w:rPr>
  </w:style>
  <w:style w:type="character" w:customStyle="1" w:styleId="Heading5Char">
    <w:name w:val="Heading 5 Char"/>
    <w:basedOn w:val="DefaultParagraphFont"/>
    <w:link w:val="Heading5"/>
    <w:uiPriority w:val="9"/>
    <w:semiHidden/>
    <w:rsid w:val="00A16BCC"/>
    <w:rPr>
      <w:rFonts w:asciiTheme="majorHAnsi" w:eastAsiaTheme="majorEastAsia" w:hAnsiTheme="majorHAnsi" w:cstheme="majorBidi"/>
      <w:color w:val="002245" w:themeColor="accent1" w:themeShade="BF"/>
    </w:rPr>
  </w:style>
  <w:style w:type="character" w:customStyle="1" w:styleId="Heading6Char">
    <w:name w:val="Heading 6 Char"/>
    <w:basedOn w:val="DefaultParagraphFont"/>
    <w:link w:val="Heading6"/>
    <w:uiPriority w:val="9"/>
    <w:semiHidden/>
    <w:rsid w:val="00A16BCC"/>
    <w:rPr>
      <w:rFonts w:asciiTheme="majorHAnsi" w:eastAsiaTheme="majorEastAsia" w:hAnsiTheme="majorHAnsi" w:cstheme="majorBidi"/>
      <w:color w:val="00162E" w:themeColor="accent1" w:themeShade="7F"/>
    </w:rPr>
  </w:style>
  <w:style w:type="character" w:customStyle="1" w:styleId="Heading7Char">
    <w:name w:val="Heading 7 Char"/>
    <w:basedOn w:val="DefaultParagraphFont"/>
    <w:link w:val="Heading7"/>
    <w:uiPriority w:val="9"/>
    <w:semiHidden/>
    <w:rsid w:val="00A16BCC"/>
    <w:rPr>
      <w:rFonts w:asciiTheme="majorHAnsi" w:eastAsiaTheme="majorEastAsia" w:hAnsiTheme="majorHAnsi" w:cstheme="majorBidi"/>
      <w:i/>
      <w:iCs/>
      <w:color w:val="00162E" w:themeColor="accent1" w:themeShade="7F"/>
    </w:rPr>
  </w:style>
  <w:style w:type="character" w:customStyle="1" w:styleId="Heading8Char">
    <w:name w:val="Heading 8 Char"/>
    <w:basedOn w:val="DefaultParagraphFont"/>
    <w:link w:val="Heading8"/>
    <w:uiPriority w:val="9"/>
    <w:semiHidden/>
    <w:rsid w:val="00A16BCC"/>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A16BCC"/>
    <w:rPr>
      <w:rFonts w:asciiTheme="majorHAnsi" w:eastAsiaTheme="majorEastAsia" w:hAnsiTheme="majorHAnsi" w:cstheme="majorBidi"/>
      <w:i/>
      <w:iCs/>
      <w:color w:val="272727" w:themeColor="text1" w:themeTint="D8"/>
      <w:sz w:val="21"/>
      <w:szCs w:val="21"/>
    </w:rPr>
  </w:style>
  <w:style w:type="character" w:styleId="PlaceholderText">
    <w:name w:val="Placeholder Text"/>
    <w:basedOn w:val="DefaultParagraphFont"/>
    <w:uiPriority w:val="99"/>
    <w:semiHidden/>
    <w:rsid w:val="00CA29CB"/>
    <w:rPr>
      <w:color w:val="666666"/>
    </w:rPr>
  </w:style>
  <w:style w:type="paragraph" w:styleId="Caption">
    <w:name w:val="caption"/>
    <w:basedOn w:val="Normal"/>
    <w:next w:val="Normal"/>
    <w:uiPriority w:val="35"/>
    <w:unhideWhenUsed/>
    <w:qFormat/>
    <w:rsid w:val="00782229"/>
    <w:pPr>
      <w:spacing w:after="200" w:line="240" w:lineRule="auto"/>
    </w:pPr>
    <w:rPr>
      <w:iCs/>
      <w:color w:val="000000" w:themeColor="text1"/>
      <w:sz w:val="20"/>
      <w:szCs w:val="18"/>
    </w:rPr>
  </w:style>
  <w:style w:type="character" w:styleId="Hyperlink">
    <w:name w:val="Hyperlink"/>
    <w:basedOn w:val="DefaultParagraphFont"/>
    <w:uiPriority w:val="99"/>
    <w:unhideWhenUsed/>
    <w:rsid w:val="000C0B42"/>
    <w:rPr>
      <w:color w:val="0057B8" w:themeColor="hyperlink"/>
      <w:u w:val="single"/>
    </w:rPr>
  </w:style>
  <w:style w:type="character" w:styleId="UnresolvedMention">
    <w:name w:val="Unresolved Mention"/>
    <w:basedOn w:val="DefaultParagraphFont"/>
    <w:uiPriority w:val="99"/>
    <w:semiHidden/>
    <w:unhideWhenUsed/>
    <w:rsid w:val="000C0B42"/>
    <w:rPr>
      <w:color w:val="605E5C"/>
      <w:shd w:val="clear" w:color="auto" w:fill="E1DFDD"/>
    </w:rPr>
  </w:style>
  <w:style w:type="table" w:styleId="TableGrid">
    <w:name w:val="Table Grid"/>
    <w:basedOn w:val="TableNormal"/>
    <w:uiPriority w:val="39"/>
    <w:rsid w:val="000D4E22"/>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phy">
    <w:name w:val="Bibliography"/>
    <w:basedOn w:val="Normal"/>
    <w:next w:val="Normal"/>
    <w:uiPriority w:val="37"/>
    <w:unhideWhenUsed/>
    <w:rsid w:val="00C61511"/>
    <w:pPr>
      <w:tabs>
        <w:tab w:val="left" w:pos="384"/>
      </w:tabs>
      <w:spacing w:after="0" w:line="240" w:lineRule="auto"/>
      <w:ind w:left="384" w:hanging="384"/>
    </w:pPr>
  </w:style>
  <w:style w:type="paragraph" w:styleId="Header">
    <w:name w:val="header"/>
    <w:basedOn w:val="Normal"/>
    <w:link w:val="HeaderChar"/>
    <w:uiPriority w:val="99"/>
    <w:unhideWhenUsed/>
    <w:rsid w:val="00087AFF"/>
    <w:pPr>
      <w:tabs>
        <w:tab w:val="center" w:pos="4680"/>
        <w:tab w:val="right" w:pos="9360"/>
      </w:tabs>
      <w:spacing w:after="0" w:line="240" w:lineRule="auto"/>
    </w:pPr>
  </w:style>
  <w:style w:type="character" w:customStyle="1" w:styleId="HeaderChar">
    <w:name w:val="Header Char"/>
    <w:basedOn w:val="DefaultParagraphFont"/>
    <w:link w:val="Header"/>
    <w:uiPriority w:val="99"/>
    <w:rsid w:val="00087AFF"/>
  </w:style>
  <w:style w:type="paragraph" w:styleId="Footer">
    <w:name w:val="footer"/>
    <w:basedOn w:val="Normal"/>
    <w:link w:val="FooterChar"/>
    <w:uiPriority w:val="99"/>
    <w:unhideWhenUsed/>
    <w:rsid w:val="00087AFF"/>
    <w:pPr>
      <w:tabs>
        <w:tab w:val="center" w:pos="4680"/>
        <w:tab w:val="right" w:pos="9360"/>
      </w:tabs>
      <w:spacing w:after="0" w:line="240" w:lineRule="auto"/>
    </w:pPr>
  </w:style>
  <w:style w:type="character" w:customStyle="1" w:styleId="FooterChar">
    <w:name w:val="Footer Char"/>
    <w:basedOn w:val="DefaultParagraphFont"/>
    <w:link w:val="Footer"/>
    <w:uiPriority w:val="99"/>
    <w:rsid w:val="00087AF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byu.app.box.com/s/grrmzcutvdtvfga3dm5zekyx1uraf589"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cassi.cas.org/search.jsp" TargetMode="Externa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byu.app.box.com/s/grrmzcutvdtvfga3dm5zekyx1uraf589"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Devin\Box\Rappleye%20Research\Data\Ranon\11-09-21%20Ni%20SWV%20Experiment\Analysis%2011-09.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0383202099737532"/>
          <c:y val="8.5316730120165399E-2"/>
          <c:w val="0.73895742198891812"/>
          <c:h val="0.71564341884354532"/>
        </c:manualLayout>
      </c:layout>
      <c:scatterChart>
        <c:scatterStyle val="lineMarker"/>
        <c:varyColors val="0"/>
        <c:ser>
          <c:idx val="5"/>
          <c:order val="0"/>
          <c:tx>
            <c:v>Soluble-Soluble</c:v>
          </c:tx>
          <c:spPr>
            <a:ln w="19050" cap="rnd">
              <a:solidFill>
                <a:schemeClr val="tx2"/>
              </a:solidFill>
              <a:prstDash val="dash"/>
              <a:round/>
            </a:ln>
            <a:effectLst/>
          </c:spPr>
          <c:marker>
            <c:symbol val="none"/>
          </c:marker>
          <c:xVal>
            <c:numRef>
              <c:f>Barker!$E$8:$E$66</c:f>
              <c:numCache>
                <c:formatCode>General</c:formatCode>
                <c:ptCount val="59"/>
                <c:pt idx="0">
                  <c:v>2.5</c:v>
                </c:pt>
                <c:pt idx="1">
                  <c:v>1.5811388300841898</c:v>
                </c:pt>
                <c:pt idx="2">
                  <c:v>1.1180339887498949</c:v>
                </c:pt>
                <c:pt idx="3">
                  <c:v>0.79056941504209488</c:v>
                </c:pt>
                <c:pt idx="4">
                  <c:v>0.79056941504209488</c:v>
                </c:pt>
                <c:pt idx="5">
                  <c:v>0.70710678118654757</c:v>
                </c:pt>
                <c:pt idx="6">
                  <c:v>0.5</c:v>
                </c:pt>
                <c:pt idx="7">
                  <c:v>0.40824829046386302</c:v>
                </c:pt>
                <c:pt idx="8">
                  <c:v>0.31622776601683794</c:v>
                </c:pt>
                <c:pt idx="9">
                  <c:v>0.2672612419124244</c:v>
                </c:pt>
                <c:pt idx="10">
                  <c:v>0.22360679774997896</c:v>
                </c:pt>
                <c:pt idx="11">
                  <c:v>0.20412414523193151</c:v>
                </c:pt>
                <c:pt idx="12">
                  <c:v>0.18257418583505536</c:v>
                </c:pt>
                <c:pt idx="13">
                  <c:v>0.15811388300841897</c:v>
                </c:pt>
                <c:pt idx="14">
                  <c:v>0.1414213562373095</c:v>
                </c:pt>
                <c:pt idx="15">
                  <c:v>0.12909944487358055</c:v>
                </c:pt>
                <c:pt idx="16">
                  <c:v>0.11952286093343936</c:v>
                </c:pt>
                <c:pt idx="17">
                  <c:v>0.11180339887498948</c:v>
                </c:pt>
                <c:pt idx="18">
                  <c:v>0.10540925533894598</c:v>
                </c:pt>
                <c:pt idx="19">
                  <c:v>0.1</c:v>
                </c:pt>
                <c:pt idx="20">
                  <c:v>9.1287092917527679E-2</c:v>
                </c:pt>
                <c:pt idx="21">
                  <c:v>8.4515425472851652E-2</c:v>
                </c:pt>
                <c:pt idx="22">
                  <c:v>7.9056941504209485E-2</c:v>
                </c:pt>
                <c:pt idx="23">
                  <c:v>7.4535599249992993E-2</c:v>
                </c:pt>
                <c:pt idx="24">
                  <c:v>7.0710678118654752E-2</c:v>
                </c:pt>
                <c:pt idx="25">
                  <c:v>6.3245553203367583E-2</c:v>
                </c:pt>
                <c:pt idx="26">
                  <c:v>5.7735026918962581E-2</c:v>
                </c:pt>
                <c:pt idx="27">
                  <c:v>5.7735026918962581E-2</c:v>
                </c:pt>
                <c:pt idx="28">
                  <c:v>5.3452248382484878E-2</c:v>
                </c:pt>
                <c:pt idx="29">
                  <c:v>0.05</c:v>
                </c:pt>
                <c:pt idx="30">
                  <c:v>4.7140452079103168E-2</c:v>
                </c:pt>
                <c:pt idx="31">
                  <c:v>4.4721359549995794E-2</c:v>
                </c:pt>
                <c:pt idx="32">
                  <c:v>4.0824829046386304E-2</c:v>
                </c:pt>
                <c:pt idx="33">
                  <c:v>3.7796447300922721E-2</c:v>
                </c:pt>
                <c:pt idx="34">
                  <c:v>3.5355339059327376E-2</c:v>
                </c:pt>
                <c:pt idx="35">
                  <c:v>3.3333333333333333E-2</c:v>
                </c:pt>
                <c:pt idx="36">
                  <c:v>3.1622776601683791E-2</c:v>
                </c:pt>
                <c:pt idx="37">
                  <c:v>2.8867513459481291E-2</c:v>
                </c:pt>
                <c:pt idx="38">
                  <c:v>2.6726124191242439E-2</c:v>
                </c:pt>
                <c:pt idx="39">
                  <c:v>2.5000000000000001E-2</c:v>
                </c:pt>
                <c:pt idx="40">
                  <c:v>2.3570226039551584E-2</c:v>
                </c:pt>
                <c:pt idx="41">
                  <c:v>2.2360679774997897E-2</c:v>
                </c:pt>
                <c:pt idx="42">
                  <c:v>1.5811388300841896E-2</c:v>
                </c:pt>
                <c:pt idx="43">
                  <c:v>1.2909944487358056E-2</c:v>
                </c:pt>
                <c:pt idx="44">
                  <c:v>1.1180339887498949E-2</c:v>
                </c:pt>
                <c:pt idx="45">
                  <c:v>0.01</c:v>
                </c:pt>
                <c:pt idx="46">
                  <c:v>8.4515425472851662E-3</c:v>
                </c:pt>
                <c:pt idx="47">
                  <c:v>7.0710678118654753E-3</c:v>
                </c:pt>
                <c:pt idx="48">
                  <c:v>5.0000000000000001E-3</c:v>
                </c:pt>
                <c:pt idx="49">
                  <c:v>4.0824829046386306E-3</c:v>
                </c:pt>
                <c:pt idx="50">
                  <c:v>3.1622776601683794E-3</c:v>
                </c:pt>
                <c:pt idx="51">
                  <c:v>2.2360679774997899E-3</c:v>
                </c:pt>
                <c:pt idx="52">
                  <c:v>1.5811388300841897E-3</c:v>
                </c:pt>
                <c:pt idx="53">
                  <c:v>1.2909944487358056E-3</c:v>
                </c:pt>
                <c:pt idx="54">
                  <c:v>1E-3</c:v>
                </c:pt>
                <c:pt idx="55">
                  <c:v>8.4515425472851658E-4</c:v>
                </c:pt>
                <c:pt idx="56">
                  <c:v>7.0710678118654751E-4</c:v>
                </c:pt>
                <c:pt idx="57">
                  <c:v>5.0000000000000001E-4</c:v>
                </c:pt>
                <c:pt idx="58">
                  <c:v>3.5355339059327376E-4</c:v>
                </c:pt>
              </c:numCache>
            </c:numRef>
          </c:xVal>
          <c:yVal>
            <c:numRef>
              <c:f>Barker!$D$8:$D$66</c:f>
              <c:numCache>
                <c:formatCode>General</c:formatCode>
                <c:ptCount val="59"/>
                <c:pt idx="0">
                  <c:v>73.868145440540502</c:v>
                </c:pt>
                <c:pt idx="1">
                  <c:v>73.868145440540502</c:v>
                </c:pt>
                <c:pt idx="2">
                  <c:v>73.868145440540502</c:v>
                </c:pt>
                <c:pt idx="3">
                  <c:v>73.868145440540502</c:v>
                </c:pt>
                <c:pt idx="4">
                  <c:v>73.868145440540502</c:v>
                </c:pt>
                <c:pt idx="5">
                  <c:v>73.868145440540502</c:v>
                </c:pt>
                <c:pt idx="6">
                  <c:v>73.868145440540502</c:v>
                </c:pt>
                <c:pt idx="7">
                  <c:v>73.868145440540502</c:v>
                </c:pt>
                <c:pt idx="8">
                  <c:v>73.868145440540502</c:v>
                </c:pt>
                <c:pt idx="9">
                  <c:v>73.868145440540502</c:v>
                </c:pt>
                <c:pt idx="10">
                  <c:v>73.868145440540502</c:v>
                </c:pt>
                <c:pt idx="11">
                  <c:v>73.868145440540502</c:v>
                </c:pt>
                <c:pt idx="12">
                  <c:v>73.868145440540502</c:v>
                </c:pt>
                <c:pt idx="13">
                  <c:v>73.868145440540502</c:v>
                </c:pt>
                <c:pt idx="14">
                  <c:v>73.868145440540502</c:v>
                </c:pt>
                <c:pt idx="15">
                  <c:v>73.868145440540502</c:v>
                </c:pt>
                <c:pt idx="16">
                  <c:v>73.868145440540502</c:v>
                </c:pt>
                <c:pt idx="17">
                  <c:v>73.868145440540502</c:v>
                </c:pt>
                <c:pt idx="18">
                  <c:v>73.868145440540502</c:v>
                </c:pt>
                <c:pt idx="19">
                  <c:v>73.868145440540502</c:v>
                </c:pt>
                <c:pt idx="20">
                  <c:v>73.868145440540502</c:v>
                </c:pt>
                <c:pt idx="21">
                  <c:v>73.868145440540502</c:v>
                </c:pt>
                <c:pt idx="22">
                  <c:v>73.868145440540502</c:v>
                </c:pt>
                <c:pt idx="23">
                  <c:v>73.868145440540502</c:v>
                </c:pt>
                <c:pt idx="24">
                  <c:v>73.868145440540502</c:v>
                </c:pt>
                <c:pt idx="25">
                  <c:v>73.868145440540502</c:v>
                </c:pt>
                <c:pt idx="26">
                  <c:v>73.868145440540502</c:v>
                </c:pt>
                <c:pt idx="27">
                  <c:v>73.868145440540502</c:v>
                </c:pt>
                <c:pt idx="28">
                  <c:v>73.868145440540502</c:v>
                </c:pt>
                <c:pt idx="29">
                  <c:v>73.868145440540502</c:v>
                </c:pt>
                <c:pt idx="30">
                  <c:v>73.868145440540502</c:v>
                </c:pt>
                <c:pt idx="31">
                  <c:v>73.868145440540502</c:v>
                </c:pt>
                <c:pt idx="32">
                  <c:v>73.868145440540502</c:v>
                </c:pt>
                <c:pt idx="33">
                  <c:v>73.868145440540502</c:v>
                </c:pt>
                <c:pt idx="34">
                  <c:v>73.868145440540502</c:v>
                </c:pt>
                <c:pt idx="35">
                  <c:v>73.868145440540502</c:v>
                </c:pt>
                <c:pt idx="36">
                  <c:v>73.868145440540502</c:v>
                </c:pt>
                <c:pt idx="37">
                  <c:v>73.868145440540502</c:v>
                </c:pt>
                <c:pt idx="38">
                  <c:v>73.868145440540502</c:v>
                </c:pt>
                <c:pt idx="39">
                  <c:v>73.868145440540502</c:v>
                </c:pt>
                <c:pt idx="40">
                  <c:v>73.868145440540502</c:v>
                </c:pt>
                <c:pt idx="41">
                  <c:v>73.868145440540502</c:v>
                </c:pt>
                <c:pt idx="42">
                  <c:v>73.868145440540502</c:v>
                </c:pt>
                <c:pt idx="43">
                  <c:v>73.868145440540502</c:v>
                </c:pt>
                <c:pt idx="44">
                  <c:v>73.868145440540502</c:v>
                </c:pt>
                <c:pt idx="45">
                  <c:v>73.868145440540502</c:v>
                </c:pt>
                <c:pt idx="46">
                  <c:v>73.868145440540502</c:v>
                </c:pt>
                <c:pt idx="47">
                  <c:v>73.868145440540502</c:v>
                </c:pt>
                <c:pt idx="48">
                  <c:v>73.868145440540502</c:v>
                </c:pt>
                <c:pt idx="49">
                  <c:v>73.868145440540502</c:v>
                </c:pt>
                <c:pt idx="50">
                  <c:v>73.868145440540502</c:v>
                </c:pt>
                <c:pt idx="51">
                  <c:v>73.868145440540502</c:v>
                </c:pt>
                <c:pt idx="52">
                  <c:v>73.868145440540502</c:v>
                </c:pt>
                <c:pt idx="53">
                  <c:v>73.868145440540502</c:v>
                </c:pt>
                <c:pt idx="54">
                  <c:v>73.868145440540502</c:v>
                </c:pt>
                <c:pt idx="55">
                  <c:v>73.868145440540502</c:v>
                </c:pt>
                <c:pt idx="56">
                  <c:v>73.868145440540502</c:v>
                </c:pt>
                <c:pt idx="57">
                  <c:v>73.868145440540502</c:v>
                </c:pt>
                <c:pt idx="58">
                  <c:v>73.868145440540502</c:v>
                </c:pt>
              </c:numCache>
            </c:numRef>
          </c:yVal>
          <c:smooth val="0"/>
          <c:extLst>
            <c:ext xmlns:c16="http://schemas.microsoft.com/office/drawing/2014/chart" uri="{C3380CC4-5D6E-409C-BE32-E72D297353CC}">
              <c16:uniqueId val="{00000001-6334-4024-88A8-E2A67CB9B772}"/>
            </c:ext>
          </c:extLst>
        </c:ser>
        <c:ser>
          <c:idx val="4"/>
          <c:order val="1"/>
          <c:tx>
            <c:v>Simple</c:v>
          </c:tx>
          <c:spPr>
            <a:ln w="19050" cap="rnd">
              <a:solidFill>
                <a:schemeClr val="tx1"/>
              </a:solidFill>
              <a:prstDash val="solid"/>
              <a:round/>
            </a:ln>
            <a:effectLst/>
          </c:spPr>
          <c:marker>
            <c:symbol val="none"/>
          </c:marker>
          <c:xVal>
            <c:numRef>
              <c:f>'F&amp;K ST'!$G$8:$G$67</c:f>
              <c:numCache>
                <c:formatCode>General</c:formatCode>
                <c:ptCount val="60"/>
                <c:pt idx="0">
                  <c:v>2.5</c:v>
                </c:pt>
                <c:pt idx="1">
                  <c:v>1.5811388300841898</c:v>
                </c:pt>
                <c:pt idx="2">
                  <c:v>1.1180339887498949</c:v>
                </c:pt>
                <c:pt idx="3">
                  <c:v>0.79056941504209488</c:v>
                </c:pt>
                <c:pt idx="4">
                  <c:v>0.79056941504209488</c:v>
                </c:pt>
                <c:pt idx="5">
                  <c:v>0.79056941504209488</c:v>
                </c:pt>
                <c:pt idx="6">
                  <c:v>0.70710678118654757</c:v>
                </c:pt>
                <c:pt idx="7">
                  <c:v>0.5</c:v>
                </c:pt>
                <c:pt idx="8">
                  <c:v>0.40824829046386302</c:v>
                </c:pt>
                <c:pt idx="9">
                  <c:v>0.31622776601683794</c:v>
                </c:pt>
                <c:pt idx="10">
                  <c:v>0.2672612419124244</c:v>
                </c:pt>
                <c:pt idx="11">
                  <c:v>0.22360679774997896</c:v>
                </c:pt>
                <c:pt idx="12">
                  <c:v>0.20412414523193151</c:v>
                </c:pt>
                <c:pt idx="13">
                  <c:v>0.18257418583505536</c:v>
                </c:pt>
                <c:pt idx="14">
                  <c:v>0.15811388300841897</c:v>
                </c:pt>
                <c:pt idx="15">
                  <c:v>0.1414213562373095</c:v>
                </c:pt>
                <c:pt idx="16">
                  <c:v>0.12909944487358055</c:v>
                </c:pt>
                <c:pt idx="17">
                  <c:v>0.11952286093343936</c:v>
                </c:pt>
                <c:pt idx="18">
                  <c:v>0.11180339887498948</c:v>
                </c:pt>
                <c:pt idx="19">
                  <c:v>0.10540925533894598</c:v>
                </c:pt>
                <c:pt idx="20">
                  <c:v>0.1</c:v>
                </c:pt>
                <c:pt idx="21">
                  <c:v>9.1287092917527679E-2</c:v>
                </c:pt>
                <c:pt idx="22">
                  <c:v>8.4515425472851652E-2</c:v>
                </c:pt>
                <c:pt idx="23">
                  <c:v>7.9056941504209485E-2</c:v>
                </c:pt>
                <c:pt idx="24">
                  <c:v>7.4535599249992993E-2</c:v>
                </c:pt>
                <c:pt idx="25">
                  <c:v>7.0710678118654752E-2</c:v>
                </c:pt>
                <c:pt idx="26">
                  <c:v>6.3245553203367583E-2</c:v>
                </c:pt>
                <c:pt idx="27">
                  <c:v>5.7735026918962581E-2</c:v>
                </c:pt>
                <c:pt idx="28">
                  <c:v>5.7735026918962581E-2</c:v>
                </c:pt>
                <c:pt idx="29">
                  <c:v>5.3452248382484878E-2</c:v>
                </c:pt>
                <c:pt idx="30">
                  <c:v>0.05</c:v>
                </c:pt>
                <c:pt idx="31">
                  <c:v>4.7140452079103168E-2</c:v>
                </c:pt>
                <c:pt idx="32">
                  <c:v>4.4721359549995794E-2</c:v>
                </c:pt>
                <c:pt idx="33">
                  <c:v>4.0824829046386304E-2</c:v>
                </c:pt>
                <c:pt idx="34">
                  <c:v>3.7796447300922721E-2</c:v>
                </c:pt>
                <c:pt idx="35">
                  <c:v>3.5355339059327376E-2</c:v>
                </c:pt>
                <c:pt idx="36">
                  <c:v>3.3333333333333333E-2</c:v>
                </c:pt>
                <c:pt idx="37">
                  <c:v>3.1622776601683791E-2</c:v>
                </c:pt>
                <c:pt idx="38">
                  <c:v>2.8867513459481291E-2</c:v>
                </c:pt>
                <c:pt idx="39">
                  <c:v>2.6726124191242439E-2</c:v>
                </c:pt>
                <c:pt idx="40">
                  <c:v>2.5000000000000001E-2</c:v>
                </c:pt>
                <c:pt idx="41">
                  <c:v>2.3570226039551584E-2</c:v>
                </c:pt>
                <c:pt idx="42">
                  <c:v>2.2360679774997897E-2</c:v>
                </c:pt>
                <c:pt idx="43">
                  <c:v>1.5811388300841896E-2</c:v>
                </c:pt>
                <c:pt idx="44">
                  <c:v>1.2909944487358056E-2</c:v>
                </c:pt>
                <c:pt idx="45">
                  <c:v>1.1180339887498949E-2</c:v>
                </c:pt>
                <c:pt idx="46">
                  <c:v>0.01</c:v>
                </c:pt>
                <c:pt idx="47">
                  <c:v>8.4515425472851662E-3</c:v>
                </c:pt>
                <c:pt idx="48">
                  <c:v>7.0710678118654753E-3</c:v>
                </c:pt>
                <c:pt idx="49">
                  <c:v>5.0000000000000001E-3</c:v>
                </c:pt>
                <c:pt idx="50">
                  <c:v>4.0824829046386306E-3</c:v>
                </c:pt>
                <c:pt idx="51">
                  <c:v>3.1622776601683794E-3</c:v>
                </c:pt>
                <c:pt idx="52">
                  <c:v>2.2360679774997899E-3</c:v>
                </c:pt>
                <c:pt idx="53">
                  <c:v>1.5811388300841897E-3</c:v>
                </c:pt>
                <c:pt idx="54">
                  <c:v>1.2909944487358056E-3</c:v>
                </c:pt>
                <c:pt idx="55">
                  <c:v>1E-3</c:v>
                </c:pt>
                <c:pt idx="56">
                  <c:v>8.4515425472851658E-4</c:v>
                </c:pt>
                <c:pt idx="57">
                  <c:v>7.0710678118654751E-4</c:v>
                </c:pt>
                <c:pt idx="58">
                  <c:v>5.0000000000000001E-4</c:v>
                </c:pt>
                <c:pt idx="59">
                  <c:v>3.5355339059327376E-4</c:v>
                </c:pt>
              </c:numCache>
            </c:numRef>
          </c:xVal>
          <c:yVal>
            <c:numRef>
              <c:f>'F&amp;K ST'!$F$8:$F$67</c:f>
              <c:numCache>
                <c:formatCode>General</c:formatCode>
                <c:ptCount val="60"/>
                <c:pt idx="0">
                  <c:v>29.379376027487698</c:v>
                </c:pt>
                <c:pt idx="1">
                  <c:v>29.379376027487698</c:v>
                </c:pt>
                <c:pt idx="2">
                  <c:v>29.379376027487698</c:v>
                </c:pt>
                <c:pt idx="3">
                  <c:v>29.379376027487698</c:v>
                </c:pt>
                <c:pt idx="4">
                  <c:v>29.379376027487698</c:v>
                </c:pt>
                <c:pt idx="5">
                  <c:v>29.379376027487698</c:v>
                </c:pt>
                <c:pt idx="6">
                  <c:v>29.379376027487698</c:v>
                </c:pt>
                <c:pt idx="7">
                  <c:v>29.379376027487698</c:v>
                </c:pt>
                <c:pt idx="8">
                  <c:v>29.379376027487698</c:v>
                </c:pt>
                <c:pt idx="9">
                  <c:v>29.379376027487698</c:v>
                </c:pt>
                <c:pt idx="10">
                  <c:v>29.379376027487698</c:v>
                </c:pt>
                <c:pt idx="11">
                  <c:v>29.379376027487698</c:v>
                </c:pt>
                <c:pt idx="12">
                  <c:v>29.379376027487698</c:v>
                </c:pt>
                <c:pt idx="13">
                  <c:v>29.379376027487698</c:v>
                </c:pt>
                <c:pt idx="14">
                  <c:v>29.379376027487698</c:v>
                </c:pt>
                <c:pt idx="15">
                  <c:v>29.379376027487698</c:v>
                </c:pt>
                <c:pt idx="16">
                  <c:v>29.379376027487698</c:v>
                </c:pt>
                <c:pt idx="17">
                  <c:v>29.379376027487698</c:v>
                </c:pt>
                <c:pt idx="18">
                  <c:v>29.379376027487698</c:v>
                </c:pt>
                <c:pt idx="19">
                  <c:v>29.379376027487698</c:v>
                </c:pt>
                <c:pt idx="20">
                  <c:v>29.379376027487698</c:v>
                </c:pt>
                <c:pt idx="21">
                  <c:v>29.379376027487698</c:v>
                </c:pt>
                <c:pt idx="22">
                  <c:v>29.379376027487698</c:v>
                </c:pt>
                <c:pt idx="23">
                  <c:v>29.379376027487698</c:v>
                </c:pt>
                <c:pt idx="24">
                  <c:v>29.379376027487698</c:v>
                </c:pt>
                <c:pt idx="25">
                  <c:v>29.379376027487698</c:v>
                </c:pt>
                <c:pt idx="26">
                  <c:v>29.379376027487698</c:v>
                </c:pt>
                <c:pt idx="27">
                  <c:v>29.379376027487698</c:v>
                </c:pt>
                <c:pt idx="28">
                  <c:v>29.379376027487698</c:v>
                </c:pt>
                <c:pt idx="29">
                  <c:v>29.379376027487698</c:v>
                </c:pt>
                <c:pt idx="30">
                  <c:v>29.379376027487698</c:v>
                </c:pt>
                <c:pt idx="31">
                  <c:v>29.379376027487698</c:v>
                </c:pt>
                <c:pt idx="32">
                  <c:v>29.379376027487698</c:v>
                </c:pt>
                <c:pt idx="33">
                  <c:v>29.379376027487698</c:v>
                </c:pt>
                <c:pt idx="34">
                  <c:v>29.379376027487698</c:v>
                </c:pt>
                <c:pt idx="35">
                  <c:v>29.379376027487698</c:v>
                </c:pt>
                <c:pt idx="36">
                  <c:v>29.379376027487698</c:v>
                </c:pt>
                <c:pt idx="37">
                  <c:v>29.379376027487698</c:v>
                </c:pt>
                <c:pt idx="38">
                  <c:v>29.379376027487698</c:v>
                </c:pt>
                <c:pt idx="39">
                  <c:v>29.379376027487698</c:v>
                </c:pt>
                <c:pt idx="40">
                  <c:v>29.379376027487698</c:v>
                </c:pt>
                <c:pt idx="41">
                  <c:v>29.379376027487698</c:v>
                </c:pt>
                <c:pt idx="42">
                  <c:v>29.379376027487698</c:v>
                </c:pt>
                <c:pt idx="43">
                  <c:v>29.379376027487698</c:v>
                </c:pt>
                <c:pt idx="44">
                  <c:v>29.379376027487698</c:v>
                </c:pt>
                <c:pt idx="45">
                  <c:v>29.379376027487698</c:v>
                </c:pt>
                <c:pt idx="46">
                  <c:v>29.379376027487698</c:v>
                </c:pt>
                <c:pt idx="47">
                  <c:v>29.379376027487698</c:v>
                </c:pt>
                <c:pt idx="48">
                  <c:v>29.379376027487698</c:v>
                </c:pt>
                <c:pt idx="49">
                  <c:v>29.379376027487698</c:v>
                </c:pt>
                <c:pt idx="50">
                  <c:v>29.379376027487698</c:v>
                </c:pt>
                <c:pt idx="51">
                  <c:v>29.379376027487698</c:v>
                </c:pt>
                <c:pt idx="52">
                  <c:v>29.379376027487698</c:v>
                </c:pt>
                <c:pt idx="53">
                  <c:v>29.379376027487698</c:v>
                </c:pt>
                <c:pt idx="54">
                  <c:v>29.379376027487698</c:v>
                </c:pt>
                <c:pt idx="55">
                  <c:v>29.379376027487698</c:v>
                </c:pt>
                <c:pt idx="56">
                  <c:v>29.379376027487698</c:v>
                </c:pt>
                <c:pt idx="57">
                  <c:v>29.379376027487698</c:v>
                </c:pt>
                <c:pt idx="58">
                  <c:v>29.379376027487698</c:v>
                </c:pt>
                <c:pt idx="59">
                  <c:v>29.379376027487698</c:v>
                </c:pt>
              </c:numCache>
            </c:numRef>
          </c:yVal>
          <c:smooth val="0"/>
          <c:extLst>
            <c:ext xmlns:c16="http://schemas.microsoft.com/office/drawing/2014/chart" uri="{C3380CC4-5D6E-409C-BE32-E72D297353CC}">
              <c16:uniqueId val="{00000003-6334-4024-88A8-E2A67CB9B772}"/>
            </c:ext>
          </c:extLst>
        </c:ser>
        <c:ser>
          <c:idx val="6"/>
          <c:order val="2"/>
          <c:tx>
            <c:v>IR = 0.1037 (85%)</c:v>
          </c:tx>
          <c:spPr>
            <a:ln w="15875" cap="rnd">
              <a:solidFill>
                <a:schemeClr val="accent5"/>
              </a:solidFill>
              <a:prstDash val="dash"/>
              <a:round/>
            </a:ln>
            <a:effectLst/>
          </c:spPr>
          <c:marker>
            <c:symbol val="triangle"/>
            <c:size val="4"/>
            <c:spPr>
              <a:solidFill>
                <a:schemeClr val="accent5"/>
              </a:solidFill>
              <a:ln w="0">
                <a:solidFill>
                  <a:schemeClr val="accent5"/>
                </a:solidFill>
                <a:prstDash val="solid"/>
              </a:ln>
              <a:effectLst/>
            </c:spPr>
          </c:marker>
          <c:xVal>
            <c:numRef>
              <c:f>'SWV IR = 85%'!$L$2:$L$26</c:f>
              <c:numCache>
                <c:formatCode>General</c:formatCode>
                <c:ptCount val="25"/>
                <c:pt idx="0">
                  <c:v>0.79056941504209488</c:v>
                </c:pt>
                <c:pt idx="1">
                  <c:v>0.7453559924999299</c:v>
                </c:pt>
                <c:pt idx="2">
                  <c:v>0.70710678118654757</c:v>
                </c:pt>
                <c:pt idx="3">
                  <c:v>0.5</c:v>
                </c:pt>
                <c:pt idx="4">
                  <c:v>0.40824829046386302</c:v>
                </c:pt>
                <c:pt idx="5">
                  <c:v>0.31622776601683794</c:v>
                </c:pt>
                <c:pt idx="6">
                  <c:v>0.2581988897471611</c:v>
                </c:pt>
                <c:pt idx="7">
                  <c:v>0.22360679774997896</c:v>
                </c:pt>
                <c:pt idx="8">
                  <c:v>0.2</c:v>
                </c:pt>
                <c:pt idx="9">
                  <c:v>0.18257418583505536</c:v>
                </c:pt>
                <c:pt idx="10">
                  <c:v>0.15811388300841897</c:v>
                </c:pt>
                <c:pt idx="11">
                  <c:v>0.1414213562373095</c:v>
                </c:pt>
                <c:pt idx="12">
                  <c:v>0.12909944487358055</c:v>
                </c:pt>
                <c:pt idx="13">
                  <c:v>0.11952286093343936</c:v>
                </c:pt>
                <c:pt idx="14">
                  <c:v>0.11180339887498948</c:v>
                </c:pt>
                <c:pt idx="15">
                  <c:v>0.1</c:v>
                </c:pt>
                <c:pt idx="16">
                  <c:v>9.1287092917527679E-2</c:v>
                </c:pt>
                <c:pt idx="17">
                  <c:v>7.9056941504209485E-2</c:v>
                </c:pt>
                <c:pt idx="18">
                  <c:v>7.0710678118654752E-2</c:v>
                </c:pt>
                <c:pt idx="19">
                  <c:v>5.7735026918962581E-2</c:v>
                </c:pt>
                <c:pt idx="20">
                  <c:v>0.05</c:v>
                </c:pt>
                <c:pt idx="21">
                  <c:v>4.4721359549995794E-2</c:v>
                </c:pt>
                <c:pt idx="22">
                  <c:v>4.0824829046386304E-2</c:v>
                </c:pt>
                <c:pt idx="23">
                  <c:v>3.5355339059327376E-2</c:v>
                </c:pt>
                <c:pt idx="24">
                  <c:v>3.1622776601683791E-2</c:v>
                </c:pt>
              </c:numCache>
            </c:numRef>
          </c:xVal>
          <c:yVal>
            <c:numRef>
              <c:f>'SWV IR = 85%'!$K$2:$K$26</c:f>
              <c:numCache>
                <c:formatCode>General</c:formatCode>
                <c:ptCount val="25"/>
                <c:pt idx="0">
                  <c:v>69.616000000000014</c:v>
                </c:pt>
                <c:pt idx="1">
                  <c:v>63.201000000000008</c:v>
                </c:pt>
                <c:pt idx="2">
                  <c:v>54.611999999999995</c:v>
                </c:pt>
                <c:pt idx="3">
                  <c:v>70.168000000000006</c:v>
                </c:pt>
                <c:pt idx="4">
                  <c:v>71.512999999999991</c:v>
                </c:pt>
                <c:pt idx="5">
                  <c:v>70.895999999999987</c:v>
                </c:pt>
                <c:pt idx="6">
                  <c:v>70.719000000000008</c:v>
                </c:pt>
                <c:pt idx="7">
                  <c:v>66.881</c:v>
                </c:pt>
                <c:pt idx="8">
                  <c:v>56.566000000000003</c:v>
                </c:pt>
                <c:pt idx="9">
                  <c:v>56.338000000000001</c:v>
                </c:pt>
                <c:pt idx="10">
                  <c:v>51.144999999999996</c:v>
                </c:pt>
                <c:pt idx="11">
                  <c:v>51.454999999999998</c:v>
                </c:pt>
                <c:pt idx="12">
                  <c:v>51.070000000000007</c:v>
                </c:pt>
                <c:pt idx="13">
                  <c:v>51.328000000000003</c:v>
                </c:pt>
                <c:pt idx="14">
                  <c:v>47.883000000000003</c:v>
                </c:pt>
                <c:pt idx="15">
                  <c:v>51.010000000000005</c:v>
                </c:pt>
                <c:pt idx="16">
                  <c:v>51.64</c:v>
                </c:pt>
                <c:pt idx="17">
                  <c:v>45.858000000000004</c:v>
                </c:pt>
                <c:pt idx="18">
                  <c:v>38.234999999999992</c:v>
                </c:pt>
                <c:pt idx="19">
                  <c:v>39.573</c:v>
                </c:pt>
                <c:pt idx="20">
                  <c:v>42.09</c:v>
                </c:pt>
                <c:pt idx="21">
                  <c:v>46.268000000000001</c:v>
                </c:pt>
                <c:pt idx="22">
                  <c:v>57.28799999999999</c:v>
                </c:pt>
                <c:pt idx="23">
                  <c:v>90.584999999999994</c:v>
                </c:pt>
                <c:pt idx="24">
                  <c:v>113.3417</c:v>
                </c:pt>
              </c:numCache>
            </c:numRef>
          </c:yVal>
          <c:smooth val="0"/>
          <c:extLst>
            <c:ext xmlns:c16="http://schemas.microsoft.com/office/drawing/2014/chart" uri="{C3380CC4-5D6E-409C-BE32-E72D297353CC}">
              <c16:uniqueId val="{00000004-6334-4024-88A8-E2A67CB9B772}"/>
            </c:ext>
          </c:extLst>
        </c:ser>
        <c:ser>
          <c:idx val="3"/>
          <c:order val="3"/>
          <c:tx>
            <c:v>Complex</c:v>
          </c:tx>
          <c:spPr>
            <a:ln w="19050" cap="rnd">
              <a:solidFill>
                <a:schemeClr val="accent4"/>
              </a:solidFill>
              <a:round/>
            </a:ln>
            <a:effectLst/>
          </c:spPr>
          <c:marker>
            <c:symbol val="none"/>
          </c:marker>
          <c:xVal>
            <c:numRef>
              <c:f>'F&amp;K T 85%'!$G$8:$G$68</c:f>
              <c:numCache>
                <c:formatCode>General</c:formatCode>
                <c:ptCount val="61"/>
                <c:pt idx="0">
                  <c:v>2.5</c:v>
                </c:pt>
                <c:pt idx="1">
                  <c:v>1.5811388300841898</c:v>
                </c:pt>
                <c:pt idx="2">
                  <c:v>1.1180339887498949</c:v>
                </c:pt>
                <c:pt idx="3">
                  <c:v>0.79056941504209488</c:v>
                </c:pt>
                <c:pt idx="4">
                  <c:v>0.79056941504209488</c:v>
                </c:pt>
                <c:pt idx="5">
                  <c:v>0.70710678118654757</c:v>
                </c:pt>
                <c:pt idx="6">
                  <c:v>0.5</c:v>
                </c:pt>
                <c:pt idx="7">
                  <c:v>0.40824829046386302</c:v>
                </c:pt>
                <c:pt idx="8">
                  <c:v>0.31622776601683794</c:v>
                </c:pt>
                <c:pt idx="9">
                  <c:v>0.2672612419124244</c:v>
                </c:pt>
                <c:pt idx="10">
                  <c:v>0.22360679774997896</c:v>
                </c:pt>
                <c:pt idx="11">
                  <c:v>0.20412414523193151</c:v>
                </c:pt>
                <c:pt idx="12">
                  <c:v>0.18257418583505536</c:v>
                </c:pt>
                <c:pt idx="13">
                  <c:v>0.15811388300841897</c:v>
                </c:pt>
                <c:pt idx="14">
                  <c:v>0.1414213562373095</c:v>
                </c:pt>
                <c:pt idx="15">
                  <c:v>0.12909944487358055</c:v>
                </c:pt>
                <c:pt idx="16">
                  <c:v>0.11952286093343936</c:v>
                </c:pt>
                <c:pt idx="17">
                  <c:v>0.11180339887498948</c:v>
                </c:pt>
                <c:pt idx="18">
                  <c:v>0.10540925533894598</c:v>
                </c:pt>
                <c:pt idx="19">
                  <c:v>0.1</c:v>
                </c:pt>
                <c:pt idx="20">
                  <c:v>9.1287092917527679E-2</c:v>
                </c:pt>
                <c:pt idx="21">
                  <c:v>8.4515425472851652E-2</c:v>
                </c:pt>
                <c:pt idx="22">
                  <c:v>7.9056941504209485E-2</c:v>
                </c:pt>
                <c:pt idx="23">
                  <c:v>7.4535599249992993E-2</c:v>
                </c:pt>
                <c:pt idx="24">
                  <c:v>7.0710678118654752E-2</c:v>
                </c:pt>
                <c:pt idx="25">
                  <c:v>6.3245553203367583E-2</c:v>
                </c:pt>
                <c:pt idx="26">
                  <c:v>5.7735026918962581E-2</c:v>
                </c:pt>
                <c:pt idx="27">
                  <c:v>5.7735026918962581E-2</c:v>
                </c:pt>
                <c:pt idx="28">
                  <c:v>5.3452248382484878E-2</c:v>
                </c:pt>
                <c:pt idx="29">
                  <c:v>0.05</c:v>
                </c:pt>
                <c:pt idx="30">
                  <c:v>4.7140452079103168E-2</c:v>
                </c:pt>
                <c:pt idx="31">
                  <c:v>4.4721359549995794E-2</c:v>
                </c:pt>
                <c:pt idx="32">
                  <c:v>4.0824829046386304E-2</c:v>
                </c:pt>
                <c:pt idx="33">
                  <c:v>3.7796447300922721E-2</c:v>
                </c:pt>
                <c:pt idx="34">
                  <c:v>3.5355339059327376E-2</c:v>
                </c:pt>
                <c:pt idx="35">
                  <c:v>3.3333333333333333E-2</c:v>
                </c:pt>
                <c:pt idx="36">
                  <c:v>3.1622776601683791E-2</c:v>
                </c:pt>
                <c:pt idx="37">
                  <c:v>2.8867513459481291E-2</c:v>
                </c:pt>
                <c:pt idx="38">
                  <c:v>2.6726124191242439E-2</c:v>
                </c:pt>
                <c:pt idx="39">
                  <c:v>2.5000000000000001E-2</c:v>
                </c:pt>
                <c:pt idx="40">
                  <c:v>2.3570226039551584E-2</c:v>
                </c:pt>
                <c:pt idx="41">
                  <c:v>2.2360679774997897E-2</c:v>
                </c:pt>
                <c:pt idx="42">
                  <c:v>1.5811388300841896E-2</c:v>
                </c:pt>
                <c:pt idx="43">
                  <c:v>1.2909944487358056E-2</c:v>
                </c:pt>
                <c:pt idx="44">
                  <c:v>1.1180339887498949E-2</c:v>
                </c:pt>
                <c:pt idx="45">
                  <c:v>0.01</c:v>
                </c:pt>
                <c:pt idx="46">
                  <c:v>8.4515425472851662E-3</c:v>
                </c:pt>
                <c:pt idx="47">
                  <c:v>7.0710678118654753E-3</c:v>
                </c:pt>
                <c:pt idx="48">
                  <c:v>5.0000000000000001E-3</c:v>
                </c:pt>
                <c:pt idx="49">
                  <c:v>4.0824829046386306E-3</c:v>
                </c:pt>
                <c:pt idx="50">
                  <c:v>3.1622776601683794E-3</c:v>
                </c:pt>
                <c:pt idx="51">
                  <c:v>2.2360679774997899E-3</c:v>
                </c:pt>
                <c:pt idx="52">
                  <c:v>1.5811388300841897E-3</c:v>
                </c:pt>
                <c:pt idx="53">
                  <c:v>1.2909944487358056E-3</c:v>
                </c:pt>
                <c:pt idx="54">
                  <c:v>1E-3</c:v>
                </c:pt>
                <c:pt idx="55">
                  <c:v>8.4515425472851658E-4</c:v>
                </c:pt>
                <c:pt idx="56">
                  <c:v>7.0710678118654751E-4</c:v>
                </c:pt>
                <c:pt idx="57">
                  <c:v>5.0000000000000001E-4</c:v>
                </c:pt>
                <c:pt idx="58">
                  <c:v>3.5355339059327376E-4</c:v>
                </c:pt>
                <c:pt idx="59">
                  <c:v>2.5000000000000001E-4</c:v>
                </c:pt>
                <c:pt idx="60">
                  <c:v>1.7677669529663688E-4</c:v>
                </c:pt>
              </c:numCache>
            </c:numRef>
          </c:xVal>
          <c:yVal>
            <c:numRef>
              <c:f>'F&amp;K T 85%'!$F$8:$F$68</c:f>
              <c:numCache>
                <c:formatCode>General</c:formatCode>
                <c:ptCount val="61"/>
                <c:pt idx="0">
                  <c:v>29.63079426016639</c:v>
                </c:pt>
                <c:pt idx="1">
                  <c:v>29.776903157767116</c:v>
                </c:pt>
                <c:pt idx="2">
                  <c:v>29.94156428654011</c:v>
                </c:pt>
                <c:pt idx="3">
                  <c:v>30.174430288046533</c:v>
                </c:pt>
                <c:pt idx="4">
                  <c:v>30.174430288046533</c:v>
                </c:pt>
                <c:pt idx="5">
                  <c:v>30.268273713692899</c:v>
                </c:pt>
                <c:pt idx="6">
                  <c:v>30.636467190881145</c:v>
                </c:pt>
                <c:pt idx="7">
                  <c:v>30.918991982725519</c:v>
                </c:pt>
                <c:pt idx="8">
                  <c:v>31.367011678884797</c:v>
                </c:pt>
                <c:pt idx="9">
                  <c:v>31.731178246167371</c:v>
                </c:pt>
                <c:pt idx="10">
                  <c:v>32.190317322749756</c:v>
                </c:pt>
                <c:pt idx="11">
                  <c:v>32.458607937963329</c:v>
                </c:pt>
                <c:pt idx="12">
                  <c:v>32.822061962642728</c:v>
                </c:pt>
                <c:pt idx="13">
                  <c:v>33.354647330281892</c:v>
                </c:pt>
                <c:pt idx="14">
                  <c:v>33.823864458513683</c:v>
                </c:pt>
                <c:pt idx="15">
                  <c:v>34.248069167975046</c:v>
                </c:pt>
                <c:pt idx="16">
                  <c:v>34.63816565809028</c:v>
                </c:pt>
                <c:pt idx="17">
                  <c:v>35.001258618011811</c:v>
                </c:pt>
                <c:pt idx="18">
                  <c:v>35.342282981678984</c:v>
                </c:pt>
                <c:pt idx="19">
                  <c:v>35.664831844454959</c:v>
                </c:pt>
                <c:pt idx="20">
                  <c:v>36.264747897797761</c:v>
                </c:pt>
                <c:pt idx="21">
                  <c:v>36.816427644752878</c:v>
                </c:pt>
                <c:pt idx="22">
                  <c:v>37.329918633076083</c:v>
                </c:pt>
                <c:pt idx="23">
                  <c:v>37.812199913273858</c:v>
                </c:pt>
                <c:pt idx="24">
                  <c:v>38.268352889539656</c:v>
                </c:pt>
                <c:pt idx="25">
                  <c:v>39.317554284473175</c:v>
                </c:pt>
                <c:pt idx="26">
                  <c:v>40.266104851204332</c:v>
                </c:pt>
                <c:pt idx="27">
                  <c:v>40.266104851204332</c:v>
                </c:pt>
                <c:pt idx="28">
                  <c:v>41.138387120886094</c:v>
                </c:pt>
                <c:pt idx="29">
                  <c:v>41.950287661422209</c:v>
                </c:pt>
                <c:pt idx="30">
                  <c:v>42.712841320565637</c:v>
                </c:pt>
                <c:pt idx="31">
                  <c:v>43.434082503797967</c:v>
                </c:pt>
                <c:pt idx="32">
                  <c:v>44.77553557986586</c:v>
                </c:pt>
                <c:pt idx="33">
                  <c:v>46.009128995867385</c:v>
                </c:pt>
                <c:pt idx="34">
                  <c:v>47.157329751591618</c:v>
                </c:pt>
                <c:pt idx="35">
                  <c:v>48.235743478389487</c:v>
                </c:pt>
                <c:pt idx="36">
                  <c:v>49.255732541458656</c:v>
                </c:pt>
                <c:pt idx="37">
                  <c:v>51.152833674920984</c:v>
                </c:pt>
                <c:pt idx="38">
                  <c:v>52.897398214284493</c:v>
                </c:pt>
                <c:pt idx="39">
                  <c:v>54.521199295356745</c:v>
                </c:pt>
                <c:pt idx="40">
                  <c:v>56.04630661364358</c:v>
                </c:pt>
                <c:pt idx="41">
                  <c:v>57.488788980108239</c:v>
                </c:pt>
                <c:pt idx="42">
                  <c:v>69.132089055429617</c:v>
                </c:pt>
                <c:pt idx="43">
                  <c:v>78.066307432361157</c:v>
                </c:pt>
                <c:pt idx="44">
                  <c:v>85.59820193272877</c:v>
                </c:pt>
                <c:pt idx="45">
                  <c:v>92.233934197160295</c:v>
                </c:pt>
                <c:pt idx="46">
                  <c:v>103.74989220013947</c:v>
                </c:pt>
                <c:pt idx="47">
                  <c:v>118.26914464800733</c:v>
                </c:pt>
                <c:pt idx="48">
                  <c:v>155.0884923668329</c:v>
                </c:pt>
                <c:pt idx="49">
                  <c:v>183.34097155126932</c:v>
                </c:pt>
                <c:pt idx="50">
                  <c:v>228.14294116719731</c:v>
                </c:pt>
                <c:pt idx="51">
                  <c:v>310.47350555369309</c:v>
                </c:pt>
                <c:pt idx="52">
                  <c:v>426.90650630690681</c:v>
                </c:pt>
                <c:pt idx="53">
                  <c:v>516.24869007622226</c:v>
                </c:pt>
                <c:pt idx="54">
                  <c:v>657.92495772421364</c:v>
                </c:pt>
                <c:pt idx="55">
                  <c:v>773.08453775400528</c:v>
                </c:pt>
                <c:pt idx="56">
                  <c:v>918.27706223268387</c:v>
                </c:pt>
                <c:pt idx="57">
                  <c:v>1286.4705394209398</c:v>
                </c:pt>
                <c:pt idx="58">
                  <c:v>1807.1747484378802</c:v>
                </c:pt>
                <c:pt idx="59">
                  <c:v>2543.561702814392</c:v>
                </c:pt>
                <c:pt idx="60">
                  <c:v>3584.9701208482725</c:v>
                </c:pt>
              </c:numCache>
            </c:numRef>
          </c:yVal>
          <c:smooth val="0"/>
          <c:extLst>
            <c:ext xmlns:c16="http://schemas.microsoft.com/office/drawing/2014/chart" uri="{C3380CC4-5D6E-409C-BE32-E72D297353CC}">
              <c16:uniqueId val="{00000005-6334-4024-88A8-E2A67CB9B772}"/>
            </c:ext>
          </c:extLst>
        </c:ser>
        <c:dLbls>
          <c:showLegendKey val="0"/>
          <c:showVal val="0"/>
          <c:showCatName val="0"/>
          <c:showSerName val="0"/>
          <c:showPercent val="0"/>
          <c:showBubbleSize val="0"/>
        </c:dLbls>
        <c:axId val="700681592"/>
        <c:axId val="700682248"/>
        <c:extLst/>
      </c:scatterChart>
      <c:valAx>
        <c:axId val="700681592"/>
        <c:scaling>
          <c:orientation val="minMax"/>
          <c:max val="0.9"/>
          <c:min val="0"/>
        </c:scaling>
        <c:delete val="0"/>
        <c:axPos val="b"/>
        <c:title>
          <c:tx>
            <c:rich>
              <a:bodyPr rot="0" spcFirstLastPara="1" vertOverflow="ellipsis" vert="horz" wrap="square" anchor="ctr" anchorCtr="1"/>
              <a:lstStyle/>
              <a:p>
                <a:pPr>
                  <a:defRPr sz="1000" b="0" i="0" u="none" strike="noStrike" kern="1200" baseline="0">
                    <a:solidFill>
                      <a:schemeClr val="tx1"/>
                    </a:solidFill>
                    <a:latin typeface="+mn-lt"/>
                    <a:ea typeface="Times New Roman"/>
                    <a:cs typeface="Times New Roman"/>
                  </a:defRPr>
                </a:pPr>
                <a:r>
                  <a:rPr lang="el-GR"/>
                  <a:t>Δ</a:t>
                </a:r>
                <a:r>
                  <a:rPr lang="en-US"/>
                  <a:t>t</a:t>
                </a:r>
                <a:r>
                  <a:rPr lang="en-US" baseline="30000"/>
                  <a:t>0.5</a:t>
                </a:r>
                <a:r>
                  <a:rPr lang="en-US"/>
                  <a:t> / s</a:t>
                </a:r>
                <a:r>
                  <a:rPr lang="en-US" baseline="30000"/>
                  <a:t>0.5</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Times New Roman"/>
                  <a:cs typeface="Times New Roman"/>
                </a:defRPr>
              </a:pPr>
              <a:endParaRPr lang="en-US"/>
            </a:p>
          </c:txPr>
        </c:title>
        <c:numFmt formatCode="0.0" sourceLinked="0"/>
        <c:majorTickMark val="out"/>
        <c:minorTickMark val="none"/>
        <c:tickLblPos val="nextTo"/>
        <c:spPr>
          <a:noFill/>
          <a:ln w="12700" cap="flat" cmpd="sng" algn="ctr">
            <a:solidFill>
              <a:srgbClr val="000000"/>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Times New Roman"/>
                <a:cs typeface="Times New Roman"/>
              </a:defRPr>
            </a:pPr>
            <a:endParaRPr lang="en-US"/>
          </a:p>
        </c:txPr>
        <c:crossAx val="700682248"/>
        <c:crosses val="autoZero"/>
        <c:crossBetween val="midCat"/>
      </c:valAx>
      <c:valAx>
        <c:axId val="700682248"/>
        <c:scaling>
          <c:orientation val="minMax"/>
          <c:max val="120"/>
          <c:min val="10"/>
        </c:scaling>
        <c:delete val="0"/>
        <c:axPos val="l"/>
        <c:title>
          <c:tx>
            <c:rich>
              <a:bodyPr rot="-5400000" spcFirstLastPara="1" vertOverflow="ellipsis" vert="horz" wrap="square" anchor="ctr" anchorCtr="1"/>
              <a:lstStyle/>
              <a:p>
                <a:pPr>
                  <a:defRPr sz="1000" b="0" i="0" u="none" strike="noStrike" kern="1200" baseline="0">
                    <a:solidFill>
                      <a:schemeClr val="tx1"/>
                    </a:solidFill>
                    <a:latin typeface="+mn-lt"/>
                    <a:ea typeface="Times New Roman"/>
                    <a:cs typeface="Times New Roman"/>
                  </a:defRPr>
                </a:pPr>
                <a:r>
                  <a:rPr lang="en-US"/>
                  <a:t>Peak Width / V</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mn-lt"/>
                  <a:ea typeface="Times New Roman"/>
                  <a:cs typeface="Times New Roman"/>
                </a:defRPr>
              </a:pPr>
              <a:endParaRPr lang="en-US"/>
            </a:p>
          </c:txPr>
        </c:title>
        <c:numFmt formatCode="0" sourceLinked="0"/>
        <c:majorTickMark val="out"/>
        <c:minorTickMark val="none"/>
        <c:tickLblPos val="nextTo"/>
        <c:spPr>
          <a:noFill/>
          <a:ln w="12700" cap="flat" cmpd="sng" algn="ctr">
            <a:solidFill>
              <a:srgbClr val="000000"/>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Times New Roman"/>
                <a:cs typeface="Times New Roman"/>
              </a:defRPr>
            </a:pPr>
            <a:endParaRPr lang="en-US"/>
          </a:p>
        </c:txPr>
        <c:crossAx val="700681592"/>
        <c:crosses val="autoZero"/>
        <c:crossBetween val="midCat"/>
        <c:majorUnit val="50"/>
      </c:valAx>
      <c:spPr>
        <a:noFill/>
        <a:ln w="12700">
          <a:noFill/>
          <a:prstDash val="solid"/>
        </a:ln>
        <a:effectLst/>
      </c:spPr>
    </c:plotArea>
    <c:legend>
      <c:legendPos val="b"/>
      <c:layout>
        <c:manualLayout>
          <c:xMode val="edge"/>
          <c:yMode val="edge"/>
          <c:x val="0.26274241761446487"/>
          <c:y val="4.0763213088318595E-2"/>
          <c:w val="0.72989966433278464"/>
          <c:h val="0.30430851036685869"/>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Times New Roman"/>
              <a:cs typeface="Times New Roman"/>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12700" cap="flat" cmpd="sng" algn="ctr">
      <a:noFill/>
      <a:prstDash val="solid"/>
      <a:round/>
    </a:ln>
    <a:effectLst/>
    <a:extLst>
      <a:ext uri="{91240B29-F687-4F45-9708-019B960494DF}">
        <a14:hiddenLine xmlns:a14="http://schemas.microsoft.com/office/drawing/2010/main" w="12700" cap="flat" cmpd="sng" algn="ctr">
          <a:solidFill>
            <a:srgbClr val="000000"/>
          </a:solidFill>
          <a:prstDash val="solid"/>
          <a:round/>
        </a14:hiddenLine>
      </a:ext>
    </a:extLst>
  </c:spPr>
  <c:txPr>
    <a:bodyPr/>
    <a:lstStyle/>
    <a:p>
      <a:pPr>
        <a:defRPr sz="1000">
          <a:solidFill>
            <a:schemeClr val="tx1"/>
          </a:solidFill>
          <a:latin typeface="+mn-lt"/>
          <a:ea typeface="Times New Roman"/>
          <a:cs typeface="Times New Roman"/>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Custom 1">
      <a:dk1>
        <a:sysClr val="windowText" lastClr="000000"/>
      </a:dk1>
      <a:lt1>
        <a:sysClr val="window" lastClr="FFFFFF"/>
      </a:lt1>
      <a:dk2>
        <a:srgbClr val="002E5D"/>
      </a:dk2>
      <a:lt2>
        <a:srgbClr val="E7E6E6"/>
      </a:lt2>
      <a:accent1>
        <a:srgbClr val="002E5D"/>
      </a:accent1>
      <a:accent2>
        <a:srgbClr val="439775"/>
      </a:accent2>
      <a:accent3>
        <a:srgbClr val="551512"/>
      </a:accent3>
      <a:accent4>
        <a:srgbClr val="63421D"/>
      </a:accent4>
      <a:accent5>
        <a:srgbClr val="83A0A0"/>
      </a:accent5>
      <a:accent6>
        <a:srgbClr val="DBCDC6"/>
      </a:accent6>
      <a:hlink>
        <a:srgbClr val="0057B8"/>
      </a:hlink>
      <a:folHlink>
        <a:srgbClr val="9D6381"/>
      </a:folHlink>
    </a:clrScheme>
    <a:fontScheme name="Garamond">
      <a:majorFont>
        <a:latin typeface="Garamond" panose="02020404030301010803"/>
        <a:ea typeface=""/>
        <a:cs typeface=""/>
        <a:font script="Jpan" typeface="ＭＳ Ｐゴシック"/>
        <a:font script="Hang" typeface="돋움"/>
        <a:font script="Hans" typeface="方正舒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Garamond" panose="02020404030301010803"/>
        <a:ea typeface=""/>
        <a:cs typeface=""/>
        <a:font script="Jpan" typeface="ＭＳ Ｐゴシック"/>
        <a:font script="Hang" typeface="돋움"/>
        <a:font script="Hans" typeface="方正舒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C8B4FA-D280-4ED1-A74C-8404761DA4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140</TotalTime>
  <Pages>2</Pages>
  <Words>1310</Words>
  <Characters>7468</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Devin Rappleye,</dc:creator>
  <cp:keywords/>
  <dc:description/>
  <cp:lastModifiedBy>Devin Rappleye</cp:lastModifiedBy>
  <cp:revision>3</cp:revision>
  <dcterms:created xsi:type="dcterms:W3CDTF">2024-01-03T20:27:00Z</dcterms:created>
  <dcterms:modified xsi:type="dcterms:W3CDTF">2024-01-04T22:07:00Z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zotero-version="6.0.30"&gt;&lt;session id="gJSuOKtN"/&gt;&lt;style id="http://www.zotero.org/styles/ieee" locale="en-US" hasBibliography="1" bibliographyStyleHasBeenSet="1"/&gt;&lt;prefs&gt;&lt;pref name="fieldType" value="Field"/&gt;&lt;pref name="automaticJour</vt:lpwstr>
  </property>
  <property fmtid="{D5CDD505-2E9C-101B-9397-08002B2CF9AE}" pid="3" name="ZOTERO_PREF_2">
    <vt:lpwstr>nalAbbreviations" value="true"/&gt;&lt;/prefs&gt;&lt;/data&gt;</vt:lpwstr>
  </property>
</Properties>
</file>